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33" w:rsidRPr="00622433" w:rsidRDefault="00622433" w:rsidP="006224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622433" w:rsidRPr="00622433" w:rsidRDefault="00622433" w:rsidP="006224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Анализ состояния конкуренции на  рынке услуг по строительству, реконструкции, капитальному ремонту  дорог, тоннелей, мостов и путепроводов на территории Еврейской автономной области.</w:t>
      </w: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22433" w:rsidRPr="00622433" w:rsidRDefault="00622433" w:rsidP="00622433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433">
        <w:rPr>
          <w:rFonts w:ascii="Times New Roman" w:hAnsi="Times New Roman" w:cs="Times New Roman"/>
          <w:sz w:val="28"/>
          <w:szCs w:val="28"/>
        </w:rPr>
        <w:t>Во исполнение Плана работы ФАС России по анализу состояния конкуренции на товарных рынках на 2011– 2012 годы, утвержденного приказом ФАС России от 07.02.2011 № 66, Управлением Федеральной антимонопольной службы по Еврейской автономной области проведён анализ рынка услуг по строительству, реконструкции, капитальному ремонту  дорог, тоннелей, мостов и путепроводов на территории Еврейской автономной области.</w:t>
      </w:r>
      <w:proofErr w:type="gramEnd"/>
    </w:p>
    <w:p w:rsidR="00622433" w:rsidRPr="00622433" w:rsidRDefault="00622433" w:rsidP="00622433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22433">
        <w:rPr>
          <w:rFonts w:ascii="Times New Roman" w:hAnsi="Times New Roman" w:cs="Times New Roman"/>
          <w:sz w:val="28"/>
          <w:szCs w:val="28"/>
        </w:rPr>
        <w:t xml:space="preserve">Настоящий анализ проводится в соответствии с Методическими рекомендациями по подготовке анализа состояния конкурентной среды на рынке  услуг по строительству, реконструкции, капитальному ремонту  дорог, тоннелей, мостов и путепроводов, которые разработаны на основе Порядка проведения анализа и оценки состояния конкуренции на товарном рынке, утвержденного приказом ФАС России от 28.04.2010 № 220 (зарегистрировано в Минюсте РФ 2 августа </w:t>
      </w:r>
      <w:smartTag w:uri="urn:schemas-microsoft-com:office:smarttags" w:element="metricconverter">
        <w:smartTagPr>
          <w:attr w:name="ProductID" w:val="2010 г"/>
        </w:smartTagPr>
        <w:r w:rsidRPr="0062243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622433">
        <w:rPr>
          <w:rFonts w:ascii="Times New Roman" w:hAnsi="Times New Roman" w:cs="Times New Roman"/>
          <w:sz w:val="28"/>
          <w:szCs w:val="28"/>
        </w:rPr>
        <w:t>. N 18026).</w:t>
      </w:r>
      <w:proofErr w:type="gramEnd"/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Анализ проводится в целях оценки состояния конкурентной среды на рынке услуг по строительству, реконструкции, капитальному ремонту автомобильных дорог, а также на рынке услуг по строительству, реконструкции и капитальному ремонту тоннелей, мостов и путепроводов.</w:t>
      </w: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2433">
        <w:rPr>
          <w:rFonts w:ascii="Times New Roman" w:hAnsi="Times New Roman" w:cs="Times New Roman"/>
          <w:sz w:val="28"/>
          <w:szCs w:val="28"/>
        </w:rPr>
        <w:t>. При анализе состояния конкуренции на товарном рынке в качестве исходной информации о товарных рынках использованы:</w:t>
      </w:r>
    </w:p>
    <w:p w:rsidR="00622433" w:rsidRPr="00622433" w:rsidRDefault="00622433" w:rsidP="00622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данные, полученные от Управления автомобильных дорог и транспорта правительства Еврейской автономной области;</w:t>
      </w:r>
    </w:p>
    <w:p w:rsidR="00622433" w:rsidRPr="00622433" w:rsidRDefault="00622433" w:rsidP="006224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lastRenderedPageBreak/>
        <w:t>информация от Управления архитектуры и строительства правительства Еврейской автономной области, Управления государственного надзора и экспертизы Еврейской автономной области, Муниципальных образований Еврейской автономной области;</w:t>
      </w:r>
    </w:p>
    <w:p w:rsidR="00622433" w:rsidRPr="00622433" w:rsidRDefault="00622433" w:rsidP="006224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сведения с официального портала органов государственной власти ЕАО;</w:t>
      </w:r>
    </w:p>
    <w:p w:rsidR="00622433" w:rsidRPr="00622433" w:rsidRDefault="00622433" w:rsidP="006224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сведения и документы, полученные от хозяйствующих субъектов, осуществляющих деятельность на данном рынке;</w:t>
      </w:r>
    </w:p>
    <w:p w:rsidR="00622433" w:rsidRPr="00622433" w:rsidRDefault="00622433" w:rsidP="006224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законодательные акты, 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регулирующие деятельность в сфере </w:t>
      </w:r>
      <w:r w:rsidRPr="00622433">
        <w:rPr>
          <w:rFonts w:ascii="Times New Roman" w:hAnsi="Times New Roman" w:cs="Times New Roman"/>
          <w:sz w:val="28"/>
          <w:szCs w:val="28"/>
        </w:rPr>
        <w:t xml:space="preserve"> строительства и реконструкции ремонта дорог, тоннелей, мостов и путепроводов, 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>государственные стандарты, технические условия и другие</w:t>
      </w:r>
      <w:r w:rsidRPr="00622433">
        <w:rPr>
          <w:rFonts w:ascii="Times New Roman" w:hAnsi="Times New Roman" w:cs="Times New Roman"/>
          <w:sz w:val="28"/>
          <w:szCs w:val="28"/>
        </w:rPr>
        <w:t xml:space="preserve"> нормативные акты.</w:t>
      </w:r>
    </w:p>
    <w:p w:rsidR="00622433" w:rsidRPr="00622433" w:rsidRDefault="00622433" w:rsidP="006224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Цель Анализа:</w:t>
      </w:r>
    </w:p>
    <w:p w:rsidR="00622433" w:rsidRPr="00622433" w:rsidRDefault="00622433" w:rsidP="00622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33" w:rsidRPr="00622433" w:rsidRDefault="00622433" w:rsidP="0062243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22433">
        <w:rPr>
          <w:sz w:val="28"/>
          <w:szCs w:val="28"/>
        </w:rPr>
        <w:t xml:space="preserve">оценка состояния  конкурентной  среды  на рынке услуг по строительству, реконструкции, капитальному ремонту дорог, тоннелей, мостов и путепроводов; </w:t>
      </w:r>
    </w:p>
    <w:p w:rsidR="00622433" w:rsidRPr="00622433" w:rsidRDefault="00622433" w:rsidP="0062243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22433">
        <w:rPr>
          <w:sz w:val="28"/>
          <w:szCs w:val="28"/>
        </w:rPr>
        <w:t>установление доминирующего положения хозяйствующих субъектов, осуществляющих деятельность на исследуемом рынке, согласно частям 1 и 3 статьи 5 Федерального закона от 26.07.2006 № 135-ФЗ "О защите конкуренции";</w:t>
      </w:r>
    </w:p>
    <w:p w:rsidR="00622433" w:rsidRPr="00622433" w:rsidRDefault="00622433" w:rsidP="0062243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2433">
        <w:rPr>
          <w:sz w:val="28"/>
          <w:szCs w:val="28"/>
        </w:rPr>
        <w:t xml:space="preserve">использование результатов исследования для включения хозяйствующих субъектов в Реестр хозяйствующих субъектов, имеющих на рынке определенного товара долю более 35% </w:t>
      </w:r>
      <w:r w:rsidRPr="00622433">
        <w:rPr>
          <w:color w:val="000000"/>
          <w:sz w:val="28"/>
          <w:szCs w:val="28"/>
        </w:rPr>
        <w:t>или занимающих доминирующее положение на рынке определенного товара, если в отношении такого рынка федеральными законами установлены случаи признания доминирующего положения хозяйствующих субъектов.</w:t>
      </w:r>
    </w:p>
    <w:p w:rsidR="00622433" w:rsidRPr="00622433" w:rsidRDefault="00622433" w:rsidP="0062243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Определение временного интервала исследования.</w:t>
      </w:r>
    </w:p>
    <w:p w:rsidR="00622433" w:rsidRPr="00622433" w:rsidRDefault="00622433" w:rsidP="00622433">
      <w:pPr>
        <w:pStyle w:val="2"/>
        <w:ind w:firstLine="708"/>
        <w:rPr>
          <w:b w:val="0"/>
          <w:bCs/>
          <w:sz w:val="28"/>
          <w:szCs w:val="28"/>
        </w:rPr>
      </w:pP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 Для целей настоящего исследования необходимо изучение сложившихся характеристик рассматриваемого товарного рынка, соответственно, проведен ретроспективный анализ состояния конкурентной среды на товарном рынке.</w:t>
      </w: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Временной интервал исследования рынка услуг по строительству, реконструкции, капитальному ремонту дорог, тоннелей, мостов и </w:t>
      </w:r>
      <w:r w:rsidRPr="00622433">
        <w:rPr>
          <w:rFonts w:ascii="Times New Roman" w:hAnsi="Times New Roman" w:cs="Times New Roman"/>
          <w:sz w:val="28"/>
          <w:szCs w:val="28"/>
        </w:rPr>
        <w:lastRenderedPageBreak/>
        <w:t>путепроводов, согласно Плану работы ФАС России по анализу состояния конкуренции на товарных рынках на 2011-2012 годы, определён 2008-2010 годы.</w:t>
      </w: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Определения продуктовых границ товарного рынка.</w:t>
      </w:r>
    </w:p>
    <w:p w:rsidR="00622433" w:rsidRPr="00622433" w:rsidRDefault="00622433" w:rsidP="00622433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В соответствии с пунктом 3.1. Порядка, определение продуктовых границ рынка предполагает предварительное определение товара, выявление свойств товара, определяющий выбор приобретателя, и товаров, потенциально являющихся взаимозаменяемыми для данного товара, определение взаимозаменяемых товаров.</w:t>
      </w: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 xml:space="preserve">Предварительное определение товара (услуги) проводится на основании нормативных актов, на основе </w:t>
      </w:r>
      <w:proofErr w:type="spellStart"/>
      <w:r w:rsidRPr="00622433">
        <w:rPr>
          <w:rFonts w:ascii="Times New Roman" w:hAnsi="Times New Roman" w:cs="Times New Roman"/>
          <w:b/>
          <w:sz w:val="28"/>
          <w:szCs w:val="28"/>
        </w:rPr>
        <w:t>ОКВЭДа</w:t>
      </w:r>
      <w:proofErr w:type="spellEnd"/>
      <w:r w:rsidRPr="00622433">
        <w:rPr>
          <w:rFonts w:ascii="Times New Roman" w:hAnsi="Times New Roman" w:cs="Times New Roman"/>
          <w:b/>
          <w:sz w:val="28"/>
          <w:szCs w:val="28"/>
        </w:rPr>
        <w:t>.</w:t>
      </w:r>
    </w:p>
    <w:p w:rsidR="00622433" w:rsidRPr="00622433" w:rsidRDefault="00622433" w:rsidP="00622433">
      <w:pPr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На основании нормативных правовых актов.</w:t>
      </w:r>
    </w:p>
    <w:p w:rsidR="00622433" w:rsidRPr="00622433" w:rsidRDefault="00622433" w:rsidP="00622433">
      <w:pPr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08 ноября 2007 года № 257-ФЗ «Об автомобильных дорогах и автомобильной деятельности в Российской Федерации» (далее – Закон об автомобильных дорогах), регулирующий отношения, возникающие в связи с осуществлением дорожной деятельности в Российской Федерации</w:t>
      </w:r>
      <w:r w:rsidRPr="00622433">
        <w:rPr>
          <w:rFonts w:ascii="Times New Roman" w:hAnsi="Times New Roman" w:cs="Times New Roman"/>
          <w:b/>
          <w:sz w:val="28"/>
          <w:szCs w:val="28"/>
        </w:rPr>
        <w:t>,</w:t>
      </w:r>
      <w:r w:rsidRPr="00622433">
        <w:rPr>
          <w:rFonts w:ascii="Times New Roman" w:hAnsi="Times New Roman" w:cs="Times New Roman"/>
          <w:sz w:val="28"/>
          <w:szCs w:val="28"/>
        </w:rPr>
        <w:t xml:space="preserve"> автомобильной дорогой является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622433" w:rsidRPr="00622433" w:rsidRDefault="00622433" w:rsidP="006224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Согласно указанному федеральному закону искусственными дорожными сооружениями являются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</w:t>
      </w:r>
      <w:r w:rsidRPr="00622433">
        <w:rPr>
          <w:rFonts w:ascii="Times New Roman" w:hAnsi="Times New Roman" w:cs="Times New Roman"/>
          <w:sz w:val="28"/>
          <w:szCs w:val="28"/>
        </w:rPr>
        <w:lastRenderedPageBreak/>
        <w:t>оврагами, в местах, которые являются препятствиями для такого движения, прогона, в том числе,  мосты,  путепроводы и тоннели.</w:t>
      </w:r>
    </w:p>
    <w:p w:rsidR="00622433" w:rsidRPr="00622433" w:rsidRDefault="00622433" w:rsidP="006224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Таким образом, мосты,  путепроводы и тоннели являются составными частями автомобильных дорог.</w:t>
      </w:r>
    </w:p>
    <w:p w:rsidR="00622433" w:rsidRPr="00622433" w:rsidRDefault="00622433" w:rsidP="006224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В соответствии с Законом об автомобильных дорогах услугой по реконструкции  автомобильной дороги является выполнение комплекса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622433" w:rsidRPr="00622433" w:rsidRDefault="00622433" w:rsidP="006224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22433">
        <w:rPr>
          <w:rFonts w:ascii="Times New Roman" w:hAnsi="Times New Roman" w:cs="Times New Roman"/>
          <w:sz w:val="28"/>
          <w:szCs w:val="28"/>
        </w:rPr>
        <w:t>Согласно</w:t>
      </w:r>
      <w:r w:rsidRPr="00622433">
        <w:rPr>
          <w:rFonts w:ascii="Times New Roman" w:hAnsi="Times New Roman" w:cs="Times New Roman"/>
          <w:iCs/>
          <w:sz w:val="28"/>
          <w:szCs w:val="28"/>
        </w:rPr>
        <w:t xml:space="preserve"> указанному федеральному закону услугой по капитальному  ремонту автомобильной дороги является выполнение комплекса 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</w:t>
      </w:r>
      <w:proofErr w:type="gramEnd"/>
      <w:r w:rsidRPr="00622433">
        <w:rPr>
          <w:rFonts w:ascii="Times New Roman" w:hAnsi="Times New Roman" w:cs="Times New Roman"/>
          <w:iCs/>
          <w:sz w:val="28"/>
          <w:szCs w:val="28"/>
        </w:rPr>
        <w:t xml:space="preserve"> не изменяются границы полосы отвода автомобильной дороги.</w:t>
      </w:r>
      <w:r w:rsidRPr="0062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33" w:rsidRPr="00622433" w:rsidRDefault="00622433" w:rsidP="006224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В соответствии со статьей 740 Гражданского кодекса Российской Федерации (далее – ГК РФ) услуги по строительству, реконструкции и капитальному ремонту автомобильных дорог выполняются на основании договора строительного подряда.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        Согласно статье 763 ГК РФ в случае, если указанные работы предназначены для удовлетворения государственных или муниципальных нужд, они осуществляются на основе государственного или муниципального контракта на выполнение подрядных работ для государственных или муниципальных нужд. В соответствии со статьей 706 ГК РФ, если из закона или договора подряда не вытекает обязанность подрядчика выполнить предусмотренную в договоре работу своими силами, подрядчик вправе привлечь к исполнению своих обязатель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>угих лиц (субподрядчиков). В этом случае подрядчик выступает в роли генерального подрядчика.</w:t>
      </w:r>
    </w:p>
    <w:p w:rsidR="00622433" w:rsidRPr="00622433" w:rsidRDefault="00622433" w:rsidP="0062243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На основе Общероссийского классификатора видов экономической деятельности.</w:t>
      </w:r>
    </w:p>
    <w:p w:rsidR="00622433" w:rsidRPr="00622433" w:rsidRDefault="00622433" w:rsidP="00622433">
      <w:pPr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       В целях проведения данного анализа рассматриваются услуги по строительству, реконструкции, капитальному ремонту автомобильных дорог, а также услуги по строительству, реконструкции и капитальному ремонту тоннелей, мостов и путепроводов.</w:t>
      </w:r>
    </w:p>
    <w:p w:rsidR="00622433" w:rsidRPr="00622433" w:rsidRDefault="00622433" w:rsidP="00622433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22433">
        <w:rPr>
          <w:rFonts w:ascii="Times New Roman" w:hAnsi="Times New Roman" w:cs="Times New Roman"/>
          <w:color w:val="000000"/>
          <w:sz w:val="28"/>
          <w:szCs w:val="28"/>
        </w:rPr>
        <w:tab/>
        <w:t>Согласно Общероссийскому классификатору видов экономической деятельности (ОКВЭД)</w:t>
      </w:r>
      <w:r w:rsidRPr="00622433">
        <w:rPr>
          <w:rFonts w:ascii="Times New Roman" w:hAnsi="Times New Roman" w:cs="Times New Roman"/>
          <w:sz w:val="28"/>
          <w:szCs w:val="28"/>
        </w:rPr>
        <w:t xml:space="preserve"> ОК 029-2001 (КДЕС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>ед. 1)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, принятого и введенного в действие Постановлением Госстандарта России от 06.11.2001 N 454-ст, с изменениями, утвержденными Приказом </w:t>
      </w:r>
      <w:proofErr w:type="spellStart"/>
      <w:r w:rsidRPr="00622433">
        <w:rPr>
          <w:rFonts w:ascii="Times New Roman" w:hAnsi="Times New Roman" w:cs="Times New Roman"/>
          <w:color w:val="000000"/>
          <w:sz w:val="28"/>
          <w:szCs w:val="28"/>
        </w:rPr>
        <w:t>Ростехрегулирования</w:t>
      </w:r>
      <w:proofErr w:type="spellEnd"/>
      <w:r w:rsidRPr="00622433">
        <w:rPr>
          <w:rFonts w:ascii="Times New Roman" w:hAnsi="Times New Roman" w:cs="Times New Roman"/>
          <w:sz w:val="28"/>
          <w:szCs w:val="28"/>
        </w:rPr>
        <w:t xml:space="preserve"> от 22.11.2007 № 329-ст</w:t>
      </w:r>
      <w:r w:rsidRPr="00622433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, рассматриваемые в анализе услуги по строительству относят к двум видам деятельности.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>У</w:t>
      </w:r>
      <w:r w:rsidRPr="00622433">
        <w:rPr>
          <w:rFonts w:ascii="Times New Roman" w:hAnsi="Times New Roman" w:cs="Times New Roman"/>
          <w:sz w:val="28"/>
          <w:szCs w:val="28"/>
        </w:rPr>
        <w:t xml:space="preserve">слуги по строительству, реконструкции, капитальному ремонту автомобильных дорог, относят к разделу F «Строительство», подразделу </w:t>
      </w:r>
      <w:proofErr w:type="gramStart"/>
      <w:r w:rsidRPr="0062243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А «Строительство», классу 45.2 «Строительство зданий и сооружений», подклассу 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433">
        <w:rPr>
          <w:rFonts w:ascii="Times New Roman" w:hAnsi="Times New Roman" w:cs="Times New Roman"/>
          <w:b/>
          <w:bCs/>
          <w:sz w:val="28"/>
          <w:szCs w:val="28"/>
        </w:rPr>
        <w:t>45.23.1 «</w:t>
      </w:r>
      <w:r w:rsidRPr="00622433">
        <w:rPr>
          <w:rFonts w:ascii="Times New Roman" w:hAnsi="Times New Roman" w:cs="Times New Roman"/>
          <w:b/>
          <w:sz w:val="28"/>
          <w:szCs w:val="28"/>
        </w:rPr>
        <w:t>Производство общестроительных работ по строительству</w:t>
      </w:r>
      <w:r w:rsidRPr="00622433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 дорог, железных дорог и взлётно-посадочных полос аэродромов».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Cs/>
          <w:sz w:val="28"/>
          <w:szCs w:val="28"/>
        </w:rPr>
        <w:tab/>
        <w:t>У</w:t>
      </w:r>
      <w:r w:rsidRPr="00622433">
        <w:rPr>
          <w:rFonts w:ascii="Times New Roman" w:hAnsi="Times New Roman" w:cs="Times New Roman"/>
          <w:sz w:val="28"/>
          <w:szCs w:val="28"/>
        </w:rPr>
        <w:t xml:space="preserve">слуги по строительству, реконструкции и капитальному ремонту тоннелей, мостов и путепроводов относят к разделу F «Строительство», подразделу </w:t>
      </w:r>
      <w:proofErr w:type="gramStart"/>
      <w:r w:rsidRPr="0062243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А «Строительство», классу 45.2 «Строительство зданий и сооружений», подклассу </w:t>
      </w:r>
      <w:r w:rsidRPr="00622433">
        <w:rPr>
          <w:rFonts w:ascii="Times New Roman" w:hAnsi="Times New Roman" w:cs="Times New Roman"/>
          <w:b/>
          <w:sz w:val="28"/>
          <w:szCs w:val="28"/>
        </w:rPr>
        <w:t>45.21.2 «Производство общестроительных работ по строительству мостов, надземных автомобильных дорог, тоннелей и подземных дорог».</w:t>
      </w:r>
    </w:p>
    <w:p w:rsidR="00622433" w:rsidRPr="00622433" w:rsidRDefault="00622433" w:rsidP="00622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Таким образом, рассматриваемые услуги по строительству являются самостоятельными видами экономической деятельности, в связи с этим они не имеют заменителей.</w:t>
      </w:r>
    </w:p>
    <w:p w:rsidR="00622433" w:rsidRPr="00622433" w:rsidRDefault="00622433" w:rsidP="006224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2433" w:rsidRPr="00622433" w:rsidRDefault="00622433" w:rsidP="006224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Выявление свойств товара, определяющих выбор приобретателя.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         В соответствии с частью 1 статьи 6 Закона об автомобильных дорогах автомобильные дороги могут находиться в федеральной собственности, собственности субъектов Российской Федерации, собственности </w:t>
      </w:r>
      <w:r w:rsidRPr="00622433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а также в частной собственности физических и юридических лиц.</w:t>
      </w:r>
    </w:p>
    <w:p w:rsidR="00622433" w:rsidRPr="00622433" w:rsidRDefault="00622433" w:rsidP="006224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  Основная часть работ по строительству, реконструкции, капитальному ремонту автомобильных дорог осуществляется посредством проведения торгов в порядке, установленном Федеральным законом от 21.07.2005 № 94-ФЗ «О  размещении заказов на поставки товаров, выполнение работ, оказание услуг для государственных и муниципальных нужд».</w:t>
      </w: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В целях проведения данного анализа продуктовыми границами рассматриваемых рынков будут являться </w:t>
      </w:r>
      <w:r w:rsidRPr="00622433">
        <w:rPr>
          <w:rFonts w:ascii="Times New Roman" w:hAnsi="Times New Roman" w:cs="Times New Roman"/>
          <w:b/>
          <w:sz w:val="28"/>
          <w:szCs w:val="28"/>
        </w:rPr>
        <w:t>услуги по строительству, реконструкции, капитальному ремонту автомобильных дорог, а также их составных частей тоннелей, мостов и путепроводов.</w:t>
      </w:r>
    </w:p>
    <w:p w:rsidR="00622433" w:rsidRPr="00622433" w:rsidRDefault="00622433" w:rsidP="006224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ab/>
      </w:r>
      <w:r w:rsidRPr="006224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62243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2243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22433">
        <w:rPr>
          <w:rFonts w:ascii="Times New Roman" w:hAnsi="Times New Roman" w:cs="Times New Roman"/>
          <w:b/>
          <w:sz w:val="28"/>
          <w:szCs w:val="28"/>
        </w:rPr>
        <w:t xml:space="preserve"> Определение географических границ товарных рынков.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Процедура определения географических границ товарного рынка определяется, исходя из экономической, технической или иной возможности либо целесообразности приобретателя приобрести товар (услугу) на данной территории.</w:t>
      </w:r>
    </w:p>
    <w:p w:rsidR="00622433" w:rsidRPr="00622433" w:rsidRDefault="00622433" w:rsidP="006224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В соответствии со статьей 5 Закона об автомобильных дорогах, автомобильные дороги в зависимости от их значения подразделяются 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>:</w:t>
      </w:r>
    </w:p>
    <w:p w:rsidR="00622433" w:rsidRPr="00622433" w:rsidRDefault="00622433" w:rsidP="006224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автомобильные дороги федерального значения;</w:t>
      </w:r>
    </w:p>
    <w:p w:rsidR="00622433" w:rsidRPr="00622433" w:rsidRDefault="00622433" w:rsidP="006224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автомобильные дороги регионального и межмуниципального значения;</w:t>
      </w:r>
    </w:p>
    <w:p w:rsidR="00622433" w:rsidRPr="00622433" w:rsidRDefault="00622433" w:rsidP="006224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автомобильные дороги местного значения;</w:t>
      </w:r>
    </w:p>
    <w:p w:rsidR="00622433" w:rsidRPr="00622433" w:rsidRDefault="00622433" w:rsidP="006224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частные автомобильные дороги.</w:t>
      </w:r>
    </w:p>
    <w:p w:rsidR="00622433" w:rsidRPr="00622433" w:rsidRDefault="00622433" w:rsidP="00622433">
      <w:pPr>
        <w:autoSpaceDE w:val="0"/>
        <w:autoSpaceDN w:val="0"/>
        <w:adjustRightInd w:val="0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Федеральными автомобильными дорогами являются автомобильные дороги общего пользования, относящиеся к федеральной собственности, обеспечивающие общегосударственные транспортные связи Российской Федерации.</w:t>
      </w:r>
    </w:p>
    <w:p w:rsidR="00622433" w:rsidRPr="00622433" w:rsidRDefault="00622433" w:rsidP="0062243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Территориальными автомобильными дорогами являются дороги общего пользования, находящиеся в собственности субъекта Российской Федерации – </w:t>
      </w:r>
      <w:proofErr w:type="gramStart"/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Еврейская автономная область), обеспечивающие межрегиональные и </w:t>
      </w:r>
      <w:proofErr w:type="spellStart"/>
      <w:r w:rsidRPr="00622433">
        <w:rPr>
          <w:rFonts w:ascii="Times New Roman" w:hAnsi="Times New Roman" w:cs="Times New Roman"/>
          <w:color w:val="000000"/>
          <w:sz w:val="28"/>
          <w:szCs w:val="28"/>
        </w:rPr>
        <w:t>внутрирегиональные</w:t>
      </w:r>
      <w:proofErr w:type="spellEnd"/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транспортные связи.</w:t>
      </w:r>
    </w:p>
    <w:p w:rsidR="00622433" w:rsidRPr="00622433" w:rsidRDefault="00622433" w:rsidP="0062243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22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Автомобильные дороги, находящиеся в частной собственности, на территории ЕАО отсутствуют.</w:t>
      </w:r>
    </w:p>
    <w:p w:rsidR="00622433" w:rsidRPr="00622433" w:rsidRDefault="00622433" w:rsidP="0062243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 автомобильных дорог в Еврейской автономной области составляет 1,6 тыс. км. Основная </w:t>
      </w:r>
      <w:proofErr w:type="gramStart"/>
      <w:r w:rsidRPr="00622433">
        <w:rPr>
          <w:rFonts w:ascii="Times New Roman" w:hAnsi="Times New Roman" w:cs="Times New Roman"/>
          <w:color w:val="000000"/>
          <w:sz w:val="28"/>
          <w:szCs w:val="28"/>
        </w:rPr>
        <w:t>магистраль</w:t>
      </w:r>
      <w:proofErr w:type="gramEnd"/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 проходящая по территории области – автотрасса федерального значения «Амур» (Чита - Хабаровск – Биробиджан – Облучье – Амурская область).  Наземная транспортная сеть обеспечивает выход к речным контрольно-пропускным пунктам на границе с Китайской народной республикой</w:t>
      </w:r>
      <w:r w:rsidRPr="0062243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22433" w:rsidRPr="00622433" w:rsidRDefault="00622433" w:rsidP="0062243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2243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подготовке анализа состояния конкуренции на товарном рынке географические границы рынка услуг по строительству, реконструкции, капитальному ремонту дорог, тоннелей, мостов и путепроводов предварительно определены, как региональные рынки (субъекты Российской Федерации), территория на которой зарегистрированы и действуют участники рынка  – </w:t>
      </w:r>
      <w:r w:rsidRPr="00622433">
        <w:rPr>
          <w:rFonts w:ascii="Times New Roman" w:hAnsi="Times New Roman" w:cs="Times New Roman"/>
          <w:b/>
          <w:sz w:val="28"/>
          <w:szCs w:val="28"/>
        </w:rPr>
        <w:t>территория Еврейской автономной области.</w:t>
      </w: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В качестве метода определения географических границ товарного рынка был выбран </w:t>
      </w:r>
      <w:r w:rsidRPr="00622433">
        <w:rPr>
          <w:rFonts w:ascii="Times New Roman" w:hAnsi="Times New Roman" w:cs="Times New Roman"/>
          <w:b/>
          <w:sz w:val="28"/>
          <w:szCs w:val="28"/>
        </w:rPr>
        <w:t xml:space="preserve">метод установления фактических районов продаж </w:t>
      </w:r>
      <w:r w:rsidRPr="00622433">
        <w:rPr>
          <w:rFonts w:ascii="Times New Roman" w:hAnsi="Times New Roman" w:cs="Times New Roman"/>
          <w:sz w:val="28"/>
          <w:szCs w:val="28"/>
        </w:rPr>
        <w:t>(местоположение приобретателей), хозяйствующих субъектов (продавцов), осуществляющих продажи на рассматриваемом товарном рынке (в предварительно определённых географических границах).</w:t>
      </w: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При этом для целей настоящего исследования районами продаж  являются районы фактически выполненных работ.</w:t>
      </w:r>
    </w:p>
    <w:p w:rsidR="00622433" w:rsidRPr="00622433" w:rsidRDefault="00622433" w:rsidP="00622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Размещение заказа на выполнение работ по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осуществляется путем проведения конкурсов, аукционов, уполномоченным на это органом, выполняющим функции 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>государственного заказчика.</w:t>
      </w:r>
    </w:p>
    <w:p w:rsidR="00622433" w:rsidRPr="00622433" w:rsidRDefault="00622433" w:rsidP="0062243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На территории Еврейской автономной области уполномоченным органом, выполняющим функции 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заказчика является Управление автомобильных дорог правительства Еврейской автономной области (далее </w:t>
      </w:r>
      <w:proofErr w:type="gramStart"/>
      <w:r w:rsidRPr="00622433">
        <w:rPr>
          <w:rFonts w:ascii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622433">
        <w:rPr>
          <w:rFonts w:ascii="Times New Roman" w:hAnsi="Times New Roman" w:cs="Times New Roman"/>
          <w:color w:val="000000"/>
          <w:sz w:val="28"/>
          <w:szCs w:val="28"/>
        </w:rPr>
        <w:t>правление автомобильных дорог).</w:t>
      </w:r>
      <w:r w:rsidRPr="00622433">
        <w:rPr>
          <w:rFonts w:ascii="Times New Roman" w:hAnsi="Times New Roman" w:cs="Times New Roman"/>
          <w:color w:val="000000"/>
        </w:rPr>
        <w:t xml:space="preserve"> </w:t>
      </w:r>
    </w:p>
    <w:p w:rsidR="00622433" w:rsidRPr="00622433" w:rsidRDefault="00622433" w:rsidP="0062243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автомобильных дорог является специально уполномоченным органом, созданным для решения вопросов управления 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дорожной отраслью, использования автомобильных дорог и осуществления дорожной деятельности в отношении автомобильных дорог регионального или межмуниципального значения, реализующим единую государственную политику по развитию сети автомобильных дорог Еврейской автономной области. </w:t>
      </w:r>
      <w:proofErr w:type="gramEnd"/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основании вышеизложенного географические границы исследуемого рынка определены, как административные границы </w:t>
      </w:r>
      <w:r w:rsidRPr="0062243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Еврейской автономной области</w:t>
      </w:r>
      <w:r w:rsidRPr="0062243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622433" w:rsidRPr="00622433" w:rsidRDefault="00622433" w:rsidP="00622433">
      <w:pPr>
        <w:autoSpaceDE w:val="0"/>
        <w:autoSpaceDN w:val="0"/>
        <w:adjustRightInd w:val="0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22433">
        <w:rPr>
          <w:rFonts w:ascii="Times New Roman" w:hAnsi="Times New Roman" w:cs="Times New Roman"/>
          <w:b/>
          <w:sz w:val="28"/>
          <w:szCs w:val="28"/>
        </w:rPr>
        <w:t xml:space="preserve">. Определение состава хозяйствующих субъектов, действующих на </w:t>
      </w:r>
      <w:proofErr w:type="gramStart"/>
      <w:r w:rsidRPr="00622433">
        <w:rPr>
          <w:rFonts w:ascii="Times New Roman" w:hAnsi="Times New Roman" w:cs="Times New Roman"/>
          <w:b/>
          <w:sz w:val="28"/>
          <w:szCs w:val="28"/>
        </w:rPr>
        <w:t>товарном  рынке</w:t>
      </w:r>
      <w:proofErr w:type="gramEnd"/>
      <w:r w:rsidRPr="00622433">
        <w:rPr>
          <w:rFonts w:ascii="Times New Roman" w:hAnsi="Times New Roman" w:cs="Times New Roman"/>
          <w:b/>
          <w:sz w:val="28"/>
          <w:szCs w:val="28"/>
        </w:rPr>
        <w:t>.</w:t>
      </w:r>
    </w:p>
    <w:p w:rsidR="00622433" w:rsidRPr="00622433" w:rsidRDefault="00622433" w:rsidP="00622433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 xml:space="preserve">В связи с тем, что работы по капитальному ремонту объектов капитального строительства для государственных или муниципальных нужд осуществляются на конкурсной основе, количество хозяйствующих субъектов, действующих на рынке строительства, реконструкции, капитального ремонта  дорог, тоннелей, мостов и путепроводов в ЕАО, было определено, как количество хозяйствующих субъектов, выполнивших подрядные строительные работы в соответствии с заключенными государственными и муниципальными контрактами. </w:t>
      </w:r>
      <w:proofErr w:type="gramEnd"/>
    </w:p>
    <w:p w:rsidR="00622433" w:rsidRPr="00622433" w:rsidRDefault="00622433" w:rsidP="00622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Перечень организаций оказывающих данные услуги определён 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>Управлением автомобильных дорог.</w:t>
      </w:r>
    </w:p>
    <w:p w:rsidR="00622433" w:rsidRPr="00622433" w:rsidRDefault="00622433" w:rsidP="006224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В состав хозяйствующих субъектов, действующих на рынках услуг по строительству, реконструкции и капитальному ремонту автомобильных дорог тоннелей, мостов и путепроводов включались генеральные подрядчики, осуществляющие оказание услуг по выполнению вышеуказанных работ, а также субподрядчики </w:t>
      </w:r>
      <w:r w:rsidRPr="006224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2433">
        <w:rPr>
          <w:rFonts w:ascii="Times New Roman" w:hAnsi="Times New Roman" w:cs="Times New Roman"/>
          <w:sz w:val="28"/>
          <w:szCs w:val="28"/>
        </w:rPr>
        <w:t xml:space="preserve"> уровня, привлеченные ими к исполнению договоров подряда.</w:t>
      </w:r>
    </w:p>
    <w:p w:rsidR="00622433" w:rsidRPr="00622433" w:rsidRDefault="00622433" w:rsidP="0062243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генеральных подрядчиках, выполнивших подрядные строительные работы за 2008-2010 годы представлены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в Приложении к аналитическому отчёту таблицы 1-1.1.  </w:t>
      </w:r>
    </w:p>
    <w:p w:rsidR="00622433" w:rsidRPr="00622433" w:rsidRDefault="00622433" w:rsidP="0062243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Сведения о субподрядчиках </w:t>
      </w:r>
      <w:r w:rsidRPr="006224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2433">
        <w:rPr>
          <w:rFonts w:ascii="Times New Roman" w:hAnsi="Times New Roman" w:cs="Times New Roman"/>
          <w:sz w:val="28"/>
          <w:szCs w:val="28"/>
        </w:rPr>
        <w:t xml:space="preserve"> уровня, привлекаемых к исполнению договоров субподряда за 2008-2010 годы представлены в Приложении к аналитическому отчёту таблицы 2-2.1.  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ab/>
        <w:t xml:space="preserve">На основании данных Управления автомобильных дорог, подрядные работы по строительству, реконструкции и капитальному ремонту </w:t>
      </w:r>
      <w:r w:rsidRPr="00622433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на территории ЕАО в 2008-2010 гг. производились четырьмя хозяйствующими субъектами: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ООО «БДРСУ» (679014, ЕАО, г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иробиджан, </w:t>
      </w:r>
      <w:proofErr w:type="spellStart"/>
      <w:r w:rsidRPr="00622433">
        <w:rPr>
          <w:rFonts w:ascii="Times New Roman" w:hAnsi="Times New Roman" w:cs="Times New Roman"/>
          <w:sz w:val="28"/>
          <w:szCs w:val="28"/>
        </w:rPr>
        <w:t>ул.Комбайностроителей</w:t>
      </w:r>
      <w:proofErr w:type="spellEnd"/>
      <w:r w:rsidRPr="00622433">
        <w:rPr>
          <w:rFonts w:ascii="Times New Roman" w:hAnsi="Times New Roman" w:cs="Times New Roman"/>
          <w:sz w:val="28"/>
          <w:szCs w:val="28"/>
        </w:rPr>
        <w:t>, 38/7);</w:t>
      </w:r>
    </w:p>
    <w:p w:rsidR="00622433" w:rsidRPr="00622433" w:rsidRDefault="00622433" w:rsidP="006224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22433">
        <w:rPr>
          <w:rFonts w:ascii="Times New Roman" w:hAnsi="Times New Roman" w:cs="Times New Roman"/>
          <w:sz w:val="28"/>
          <w:szCs w:val="28"/>
        </w:rPr>
        <w:t>ДСКом</w:t>
      </w:r>
      <w:proofErr w:type="spellEnd"/>
      <w:r w:rsidRPr="00622433">
        <w:rPr>
          <w:rFonts w:ascii="Times New Roman" w:hAnsi="Times New Roman" w:cs="Times New Roman"/>
          <w:sz w:val="28"/>
          <w:szCs w:val="28"/>
        </w:rPr>
        <w:t xml:space="preserve"> №1» (679016, ЕАО, г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>иробиджан, ул. Миллера, 26);</w:t>
      </w:r>
    </w:p>
    <w:p w:rsidR="00622433" w:rsidRPr="00622433" w:rsidRDefault="00622433" w:rsidP="006224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ООО «Дороги Плюс» (679210, ЕАО, Биробиджанский район, с. Птичник, ул. 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>, 98);</w:t>
      </w:r>
    </w:p>
    <w:p w:rsidR="00622433" w:rsidRPr="00622433" w:rsidRDefault="00622433" w:rsidP="006224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ООО  «Дорожник» (679100, ЕАО, Облученский район, г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блучье, </w:t>
      </w:r>
      <w:proofErr w:type="spellStart"/>
      <w:r w:rsidRPr="00622433">
        <w:rPr>
          <w:rFonts w:ascii="Times New Roman" w:hAnsi="Times New Roman" w:cs="Times New Roman"/>
          <w:sz w:val="28"/>
          <w:szCs w:val="28"/>
        </w:rPr>
        <w:t>Пашковское</w:t>
      </w:r>
      <w:proofErr w:type="spellEnd"/>
      <w:r w:rsidRPr="00622433">
        <w:rPr>
          <w:rFonts w:ascii="Times New Roman" w:hAnsi="Times New Roman" w:cs="Times New Roman"/>
          <w:sz w:val="28"/>
          <w:szCs w:val="28"/>
        </w:rPr>
        <w:t xml:space="preserve">  шоссе, 1 км).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Подрядные работы по строительству, реконструкции и капитальному ремонту тоннелей, мостов и путепроводов на территории ЕАО осуществляла одна организация - ОАО «</w:t>
      </w:r>
      <w:proofErr w:type="spellStart"/>
      <w:r w:rsidRPr="00622433">
        <w:rPr>
          <w:rFonts w:ascii="Times New Roman" w:hAnsi="Times New Roman" w:cs="Times New Roman"/>
          <w:sz w:val="28"/>
          <w:szCs w:val="28"/>
        </w:rPr>
        <w:t>Дальмостострой</w:t>
      </w:r>
      <w:proofErr w:type="spellEnd"/>
      <w:r w:rsidRPr="00622433">
        <w:rPr>
          <w:rFonts w:ascii="Times New Roman" w:hAnsi="Times New Roman" w:cs="Times New Roman"/>
          <w:sz w:val="28"/>
          <w:szCs w:val="28"/>
        </w:rPr>
        <w:t>» (680028, г. Хабаровск, ул. Калинина, 107).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ab/>
      </w:r>
    </w:p>
    <w:p w:rsidR="00622433" w:rsidRPr="00622433" w:rsidRDefault="00622433" w:rsidP="0062243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Расчет объема товарных рынков и долей хозяйствующих  субъектов на рынках.</w:t>
      </w:r>
    </w:p>
    <w:p w:rsidR="00622433" w:rsidRPr="00622433" w:rsidRDefault="00622433" w:rsidP="00622433">
      <w:pPr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ab/>
        <w:t>Основным показателем</w:t>
      </w:r>
      <w:r w:rsidRPr="00622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433">
        <w:rPr>
          <w:rFonts w:ascii="Times New Roman" w:hAnsi="Times New Roman" w:cs="Times New Roman"/>
          <w:sz w:val="28"/>
          <w:szCs w:val="28"/>
        </w:rPr>
        <w:t>для</w:t>
      </w:r>
      <w:r w:rsidRPr="00622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433">
        <w:rPr>
          <w:rFonts w:ascii="Times New Roman" w:hAnsi="Times New Roman" w:cs="Times New Roman"/>
          <w:sz w:val="28"/>
          <w:szCs w:val="28"/>
        </w:rPr>
        <w:t>расчёта общего</w:t>
      </w:r>
      <w:r w:rsidRPr="00622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433">
        <w:rPr>
          <w:rFonts w:ascii="Times New Roman" w:hAnsi="Times New Roman" w:cs="Times New Roman"/>
          <w:sz w:val="28"/>
          <w:szCs w:val="28"/>
        </w:rPr>
        <w:t xml:space="preserve">объема рынка услуг по строительству, реконструкции, капитальному ремонту дорог, тоннелей, мостов и путепроводов является 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 объема выполненных работ в стоимостном и натуральном выражении</w:t>
      </w:r>
      <w:r w:rsidRPr="00622433">
        <w:rPr>
          <w:rFonts w:ascii="Times New Roman" w:hAnsi="Times New Roman" w:cs="Times New Roman"/>
          <w:sz w:val="28"/>
          <w:szCs w:val="28"/>
        </w:rPr>
        <w:t>.</w:t>
      </w:r>
    </w:p>
    <w:p w:rsidR="00622433" w:rsidRPr="00622433" w:rsidRDefault="00622433" w:rsidP="00622433">
      <w:pPr>
        <w:pStyle w:val="3"/>
        <w:spacing w:after="0"/>
        <w:jc w:val="both"/>
        <w:rPr>
          <w:sz w:val="28"/>
          <w:szCs w:val="28"/>
        </w:rPr>
      </w:pPr>
      <w:r w:rsidRPr="00622433">
        <w:rPr>
          <w:sz w:val="28"/>
          <w:szCs w:val="28"/>
        </w:rPr>
        <w:tab/>
        <w:t xml:space="preserve">В качестве источников расчета объема выполненных работ на территории Еврейской автономной области использовались сведения и данные представленные хозяйствующими </w:t>
      </w:r>
      <w:proofErr w:type="gramStart"/>
      <w:r w:rsidRPr="00622433">
        <w:rPr>
          <w:sz w:val="28"/>
          <w:szCs w:val="28"/>
        </w:rPr>
        <w:t>субъектами</w:t>
      </w:r>
      <w:proofErr w:type="gramEnd"/>
      <w:r w:rsidRPr="00622433">
        <w:rPr>
          <w:sz w:val="28"/>
          <w:szCs w:val="28"/>
        </w:rPr>
        <w:t xml:space="preserve"> осуществляющими данную деятельность. </w:t>
      </w: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22433">
        <w:rPr>
          <w:rFonts w:ascii="Times New Roman" w:hAnsi="Times New Roman" w:cs="Times New Roman"/>
          <w:sz w:val="28"/>
          <w:szCs w:val="28"/>
        </w:rPr>
        <w:t>асчёт суммарной стоимости выполненных подрядных работ в обороте за определённый период времени в продуктовых и географических границах рассматриваемого рынка произведён по объёму выполненных подрядных работ за 2008-2010 годы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 в стоимостном выражении (руб.)</w:t>
      </w:r>
      <w:r w:rsidRPr="00622433">
        <w:rPr>
          <w:rFonts w:ascii="Times New Roman" w:hAnsi="Times New Roman" w:cs="Times New Roman"/>
          <w:sz w:val="28"/>
          <w:szCs w:val="28"/>
        </w:rPr>
        <w:t>.</w:t>
      </w: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Общий объем выполненных подрядных работ по строительству, реконструкции, капитальному ремонту дорог для государственных и муниципальных нужд на территории ЕАО за 2008-2010 годы в стоимостном выражении составил  </w:t>
      </w:r>
      <w:r w:rsidRPr="00622433">
        <w:rPr>
          <w:rFonts w:ascii="Times New Roman" w:hAnsi="Times New Roman" w:cs="Times New Roman"/>
          <w:b/>
          <w:sz w:val="28"/>
          <w:szCs w:val="28"/>
        </w:rPr>
        <w:t>2 652 940,9</w:t>
      </w:r>
      <w:r w:rsidRPr="00622433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уб.,  в том числе за 2008 год – </w:t>
      </w:r>
      <w:r w:rsidRPr="00622433">
        <w:rPr>
          <w:rFonts w:ascii="Times New Roman" w:hAnsi="Times New Roman" w:cs="Times New Roman"/>
          <w:sz w:val="28"/>
          <w:szCs w:val="28"/>
        </w:rPr>
        <w:lastRenderedPageBreak/>
        <w:t>628 048,1 млн.руб., 2009 год – 765 072,8 млн. руб., 2010 год – 1 259 819,9 млн.руб.</w:t>
      </w: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Подрядные работы по строительству, реконструкции, капитальному ремонту тоннелей, мостов и путепроводов для государственных и муниципальных нужд на территории ЕАО производились только в 2010 году. Объектом строительства стал мостовой переход через реку Щукинка-1 на автомобильной дороге </w:t>
      </w:r>
      <w:proofErr w:type="spellStart"/>
      <w:proofErr w:type="gramStart"/>
      <w:r w:rsidRPr="00622433">
        <w:rPr>
          <w:rFonts w:ascii="Times New Roman" w:hAnsi="Times New Roman" w:cs="Times New Roman"/>
          <w:sz w:val="28"/>
          <w:szCs w:val="28"/>
        </w:rPr>
        <w:t>Биробиджан-Ленинское</w:t>
      </w:r>
      <w:proofErr w:type="spellEnd"/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433" w:rsidRPr="00622433" w:rsidRDefault="00622433" w:rsidP="006224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Доля хозяйствующего субъекта на товарном рынке рассчитывается как выраженное в процентах отношение показателя, характеризующего объем товарной массы, каждого хозяйствующего субъекта на рассматриваемом товарном рынке, к показателю, характеризующему общий объем товарного рынка на территории ЕАО.</w:t>
      </w: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Информация об объёмах и долях генеральных подрядчиков,  субподрядчиков, выполнивших строительные работы своими силами за 2008, 2009, 2010 годы, представлена в Приложении 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согласно таблиц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 4 - 4.1 и  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>5 - 5.1</w:t>
      </w:r>
      <w:r w:rsidRPr="00622433">
        <w:rPr>
          <w:rFonts w:ascii="Times New Roman" w:hAnsi="Times New Roman" w:cs="Times New Roman"/>
          <w:sz w:val="28"/>
          <w:szCs w:val="28"/>
        </w:rPr>
        <w:t>.</w:t>
      </w: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43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проведенного анализа состояния конкуренции и расчёта долей хозяйствующих субъектов на рынке строительства, реконструкции, капитального ремонта дорог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, основными участниками данного сегмента товарного рынка, на территории Еврейской автономной области являются два хозяйствующих субъекта: </w:t>
      </w:r>
      <w:r w:rsidRPr="0062243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«Биробиджанское дорожное ремонтно-строительное управление» (679014, ЕАО, г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>иробиджан, ул. Комбайностроителей, 38/7), Общество с ограниченной ответственностью «Дорожно-строительная компания №1» (679016, ЕАО, г.Биробиджан, ул. Миллера, 26).</w:t>
      </w: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Доля ООО </w:t>
      </w:r>
      <w:r w:rsidRPr="00622433">
        <w:rPr>
          <w:rFonts w:ascii="Times New Roman" w:hAnsi="Times New Roman" w:cs="Times New Roman"/>
          <w:sz w:val="28"/>
          <w:szCs w:val="28"/>
        </w:rPr>
        <w:t>«БДРСУ»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 в общем объёме строительства, </w:t>
      </w:r>
      <w:r w:rsidRPr="00622433">
        <w:rPr>
          <w:rFonts w:ascii="Times New Roman" w:hAnsi="Times New Roman" w:cs="Times New Roman"/>
          <w:sz w:val="28"/>
          <w:szCs w:val="28"/>
        </w:rPr>
        <w:t>реконструкции, капитального ремонта дорог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ЕАО составила за 2008 год- 27,3 %, за 2009 год – 52,4 %, за 2010 год – 46,2 %.</w:t>
      </w: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Доля ООО </w:t>
      </w:r>
      <w:r w:rsidRPr="006224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2433">
        <w:rPr>
          <w:rFonts w:ascii="Times New Roman" w:hAnsi="Times New Roman" w:cs="Times New Roman"/>
          <w:sz w:val="28"/>
          <w:szCs w:val="28"/>
        </w:rPr>
        <w:t>ДСКом</w:t>
      </w:r>
      <w:proofErr w:type="spellEnd"/>
      <w:r w:rsidRPr="00622433">
        <w:rPr>
          <w:rFonts w:ascii="Times New Roman" w:hAnsi="Times New Roman" w:cs="Times New Roman"/>
          <w:sz w:val="28"/>
          <w:szCs w:val="28"/>
        </w:rPr>
        <w:t xml:space="preserve"> №1»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 в общем объёме строительства, </w:t>
      </w:r>
      <w:r w:rsidRPr="00622433">
        <w:rPr>
          <w:rFonts w:ascii="Times New Roman" w:hAnsi="Times New Roman" w:cs="Times New Roman"/>
          <w:sz w:val="28"/>
          <w:szCs w:val="28"/>
        </w:rPr>
        <w:t>реконструкции, капитального ремонта дорог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ЕАО составила за 2008 год- 46,8 %, за 2009 год – 47,6 %, за 2010 год – 53,7 %.</w:t>
      </w: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На рынке строительства, реконструкции, капитального ремонта тоннелей, мостов и путепроводов основная доля выполненных работ принадлежит ОАО «</w:t>
      </w:r>
      <w:proofErr w:type="spellStart"/>
      <w:r w:rsidRPr="00622433">
        <w:rPr>
          <w:rFonts w:ascii="Times New Roman" w:hAnsi="Times New Roman" w:cs="Times New Roman"/>
          <w:sz w:val="28"/>
          <w:szCs w:val="28"/>
        </w:rPr>
        <w:t>Дальмостострой</w:t>
      </w:r>
      <w:proofErr w:type="spellEnd"/>
      <w:r w:rsidRPr="00622433">
        <w:rPr>
          <w:rFonts w:ascii="Times New Roman" w:hAnsi="Times New Roman" w:cs="Times New Roman"/>
          <w:sz w:val="28"/>
          <w:szCs w:val="28"/>
        </w:rPr>
        <w:t xml:space="preserve">» (680028, г. Хабаровск, ул. Калинина, 107), доля данного </w:t>
      </w:r>
      <w:proofErr w:type="spellStart"/>
      <w:r w:rsidRPr="00622433">
        <w:rPr>
          <w:rFonts w:ascii="Times New Roman" w:hAnsi="Times New Roman" w:cs="Times New Roman"/>
          <w:sz w:val="28"/>
          <w:szCs w:val="28"/>
        </w:rPr>
        <w:t>хозсубъекта</w:t>
      </w:r>
      <w:proofErr w:type="spellEnd"/>
      <w:r w:rsidRPr="00622433">
        <w:rPr>
          <w:rFonts w:ascii="Times New Roman" w:hAnsi="Times New Roman" w:cs="Times New Roman"/>
          <w:sz w:val="28"/>
          <w:szCs w:val="28"/>
        </w:rPr>
        <w:t xml:space="preserve"> составила за 2010 год 100 % долю, в 2008-</w:t>
      </w:r>
      <w:r w:rsidRPr="00622433">
        <w:rPr>
          <w:rFonts w:ascii="Times New Roman" w:hAnsi="Times New Roman" w:cs="Times New Roman"/>
          <w:sz w:val="28"/>
          <w:szCs w:val="28"/>
        </w:rPr>
        <w:lastRenderedPageBreak/>
        <w:t>2009 годах по данному виду деятельности строительных работ не производилось.</w:t>
      </w:r>
    </w:p>
    <w:p w:rsidR="00622433" w:rsidRPr="00622433" w:rsidRDefault="00622433" w:rsidP="006224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33" w:rsidRPr="00622433" w:rsidRDefault="00622433" w:rsidP="006224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Уровень концентрации товарного рынка.</w:t>
      </w:r>
    </w:p>
    <w:p w:rsidR="00622433" w:rsidRPr="00622433" w:rsidRDefault="00622433" w:rsidP="00622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Для определения уровня концентрации рынка услуг по строительству, реконструкции, капитальному ремонту дорог, тоннелей, мостов, путепроводов использованы следующие показатели:</w:t>
      </w:r>
    </w:p>
    <w:p w:rsidR="00622433" w:rsidRPr="00622433" w:rsidRDefault="00622433" w:rsidP="00622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а) коэффициент рыночной концентрации (CR), определяемый как сумма долей на товарном рынке (выраженных в процентах) определённого числа (</w:t>
      </w:r>
      <w:proofErr w:type="spellStart"/>
      <w:r w:rsidRPr="0062243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22433">
        <w:rPr>
          <w:rFonts w:ascii="Times New Roman" w:hAnsi="Times New Roman" w:cs="Times New Roman"/>
          <w:sz w:val="28"/>
          <w:szCs w:val="28"/>
        </w:rPr>
        <w:t>) крупнейших хозяйствующих субъектов, действующих на данном рынке.</w:t>
      </w:r>
    </w:p>
    <w:p w:rsidR="00622433" w:rsidRPr="00622433" w:rsidRDefault="00622433" w:rsidP="00622433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 б)</w:t>
      </w:r>
      <w:r w:rsidRPr="00622433">
        <w:rPr>
          <w:rFonts w:ascii="Times New Roman" w:hAnsi="Times New Roman" w:cs="Times New Roman"/>
          <w:sz w:val="28"/>
          <w:szCs w:val="28"/>
        </w:rPr>
        <w:tab/>
        <w:t>индекс рыночной концентрации Герфиндаля-Гиршмана (HHI), определяемый как сумма квадратов долей на товарном рынке (выраженных в процентах), всех хозяйствующих субъектов, действующих на данном рынке.</w:t>
      </w:r>
    </w:p>
    <w:p w:rsidR="00622433" w:rsidRPr="00622433" w:rsidRDefault="00622433" w:rsidP="00622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Значения показателей индексов рыночной концентрации Герфиндаля-Гиршмана (HHI) и коэффициентов рыночной концентрации (</w:t>
      </w:r>
      <w:r w:rsidRPr="00622433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622433">
        <w:rPr>
          <w:rFonts w:ascii="Times New Roman" w:hAnsi="Times New Roman" w:cs="Times New Roman"/>
          <w:sz w:val="28"/>
          <w:szCs w:val="28"/>
        </w:rPr>
        <w:t>) исследуемого рынка отражены в таблицах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,2. </w:t>
      </w: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  <w:color w:val="000000"/>
        </w:rPr>
      </w:pPr>
      <w:r w:rsidRPr="00622433">
        <w:rPr>
          <w:rFonts w:ascii="Times New Roman" w:hAnsi="Times New Roman" w:cs="Times New Roman"/>
          <w:b/>
        </w:rPr>
        <w:t xml:space="preserve">Уровень концентрации на рынке </w:t>
      </w:r>
      <w:r w:rsidRPr="00622433">
        <w:rPr>
          <w:rFonts w:ascii="Times New Roman" w:hAnsi="Times New Roman" w:cs="Times New Roman"/>
          <w:b/>
          <w:color w:val="000000"/>
        </w:rPr>
        <w:t xml:space="preserve">строительства, </w:t>
      </w: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</w:rPr>
      </w:pPr>
      <w:r w:rsidRPr="00622433">
        <w:rPr>
          <w:rFonts w:ascii="Times New Roman" w:hAnsi="Times New Roman" w:cs="Times New Roman"/>
          <w:b/>
        </w:rPr>
        <w:t>реконструкции, капитального ремонта дорог.</w:t>
      </w:r>
    </w:p>
    <w:p w:rsidR="00622433" w:rsidRPr="00622433" w:rsidRDefault="00622433" w:rsidP="00622433">
      <w:pPr>
        <w:jc w:val="right"/>
        <w:rPr>
          <w:rFonts w:ascii="Times New Roman" w:hAnsi="Times New Roman" w:cs="Times New Roman"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</w:rPr>
      </w:pPr>
      <w:r w:rsidRPr="006224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Таблица 1</w:t>
      </w:r>
    </w:p>
    <w:p w:rsidR="00622433" w:rsidRPr="00622433" w:rsidRDefault="00622433" w:rsidP="00622433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3"/>
        <w:gridCol w:w="1194"/>
        <w:gridCol w:w="1134"/>
        <w:gridCol w:w="1276"/>
      </w:tblGrid>
      <w:tr w:rsidR="00622433" w:rsidRPr="00622433" w:rsidTr="000B0914">
        <w:trPr>
          <w:trHeight w:val="310"/>
          <w:jc w:val="center"/>
        </w:trPr>
        <w:tc>
          <w:tcPr>
            <w:tcW w:w="3453" w:type="dxa"/>
            <w:vMerge w:val="restart"/>
            <w:vAlign w:val="center"/>
          </w:tcPr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Индекс рыночной концентрации </w:t>
            </w:r>
          </w:p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Герфиндаля-Гиршмана (</w:t>
            </w: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HHI</w:t>
            </w: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4" w:type="dxa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24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134" w:type="dxa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24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6" w:type="dxa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24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2010</w:t>
            </w:r>
          </w:p>
        </w:tc>
      </w:tr>
      <w:tr w:rsidR="00622433" w:rsidRPr="00622433" w:rsidTr="000B0914">
        <w:trPr>
          <w:trHeight w:val="321"/>
          <w:jc w:val="center"/>
        </w:trPr>
        <w:tc>
          <w:tcPr>
            <w:tcW w:w="3453" w:type="dxa"/>
            <w:vMerge/>
          </w:tcPr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5606</w:t>
            </w:r>
          </w:p>
        </w:tc>
        <w:tc>
          <w:tcPr>
            <w:tcW w:w="113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5012</w:t>
            </w:r>
          </w:p>
        </w:tc>
        <w:tc>
          <w:tcPr>
            <w:tcW w:w="1276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5018</w:t>
            </w:r>
          </w:p>
        </w:tc>
      </w:tr>
      <w:tr w:rsidR="00622433" w:rsidRPr="00622433" w:rsidTr="000B0914">
        <w:trPr>
          <w:trHeight w:val="424"/>
          <w:jc w:val="center"/>
        </w:trPr>
        <w:tc>
          <w:tcPr>
            <w:tcW w:w="3453" w:type="dxa"/>
            <w:vAlign w:val="center"/>
          </w:tcPr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Коэффициент </w:t>
            </w:r>
            <w:proofErr w:type="gramStart"/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рыночной</w:t>
            </w:r>
            <w:proofErr w:type="gramEnd"/>
          </w:p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концентрации (</w:t>
            </w: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CR</w:t>
            </w: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-3) , в т.ч.:</w:t>
            </w:r>
          </w:p>
        </w:tc>
        <w:tc>
          <w:tcPr>
            <w:tcW w:w="119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622433" w:rsidRPr="00622433" w:rsidTr="000B0914">
        <w:trPr>
          <w:trHeight w:val="375"/>
          <w:jc w:val="center"/>
        </w:trPr>
        <w:tc>
          <w:tcPr>
            <w:tcW w:w="3453" w:type="dxa"/>
            <w:vAlign w:val="center"/>
          </w:tcPr>
          <w:p w:rsidR="00622433" w:rsidRPr="00622433" w:rsidRDefault="00622433" w:rsidP="000B09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2433">
              <w:rPr>
                <w:rFonts w:ascii="Times New Roman" w:eastAsia="Calibri" w:hAnsi="Times New Roman" w:cs="Times New Roman"/>
              </w:rPr>
              <w:t>ООО «БДРСУ»</w:t>
            </w:r>
          </w:p>
        </w:tc>
        <w:tc>
          <w:tcPr>
            <w:tcW w:w="119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2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3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2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76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2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46,2</w:t>
            </w:r>
          </w:p>
        </w:tc>
      </w:tr>
      <w:tr w:rsidR="00622433" w:rsidRPr="00622433" w:rsidTr="000B0914">
        <w:trPr>
          <w:trHeight w:val="256"/>
          <w:jc w:val="center"/>
        </w:trPr>
        <w:tc>
          <w:tcPr>
            <w:tcW w:w="3453" w:type="dxa"/>
            <w:vAlign w:val="center"/>
          </w:tcPr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</w:rPr>
            </w:pPr>
            <w:r w:rsidRPr="00622433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22433">
              <w:rPr>
                <w:rFonts w:ascii="Times New Roman" w:eastAsia="Calibri" w:hAnsi="Times New Roman" w:cs="Times New Roman"/>
              </w:rPr>
              <w:t>ДСКом</w:t>
            </w:r>
            <w:proofErr w:type="spellEnd"/>
            <w:r w:rsidRPr="00622433">
              <w:rPr>
                <w:rFonts w:ascii="Times New Roman" w:eastAsia="Calibri" w:hAnsi="Times New Roman" w:cs="Times New Roman"/>
              </w:rPr>
              <w:t xml:space="preserve"> №1»</w:t>
            </w:r>
          </w:p>
        </w:tc>
        <w:tc>
          <w:tcPr>
            <w:tcW w:w="119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2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3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2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76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2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53,7</w:t>
            </w:r>
          </w:p>
        </w:tc>
      </w:tr>
      <w:tr w:rsidR="00622433" w:rsidRPr="00622433" w:rsidTr="000B0914">
        <w:trPr>
          <w:trHeight w:val="256"/>
          <w:jc w:val="center"/>
        </w:trPr>
        <w:tc>
          <w:tcPr>
            <w:tcW w:w="3453" w:type="dxa"/>
            <w:vAlign w:val="center"/>
          </w:tcPr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</w:rPr>
            </w:pPr>
            <w:r w:rsidRPr="00622433">
              <w:rPr>
                <w:rFonts w:ascii="Times New Roman" w:eastAsia="Calibri" w:hAnsi="Times New Roman" w:cs="Times New Roman"/>
              </w:rPr>
              <w:lastRenderedPageBreak/>
              <w:t>ООО «Дороги Плюс»</w:t>
            </w:r>
          </w:p>
        </w:tc>
        <w:tc>
          <w:tcPr>
            <w:tcW w:w="119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2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3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2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2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622433" w:rsidRPr="00622433" w:rsidRDefault="00622433" w:rsidP="00622433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  <w:color w:val="000000"/>
        </w:rPr>
      </w:pPr>
      <w:r w:rsidRPr="00622433">
        <w:rPr>
          <w:rFonts w:ascii="Times New Roman" w:hAnsi="Times New Roman" w:cs="Times New Roman"/>
          <w:b/>
        </w:rPr>
        <w:t xml:space="preserve">Уровень концентрации на рынке </w:t>
      </w:r>
      <w:r w:rsidRPr="00622433">
        <w:rPr>
          <w:rFonts w:ascii="Times New Roman" w:hAnsi="Times New Roman" w:cs="Times New Roman"/>
          <w:b/>
          <w:color w:val="000000"/>
        </w:rPr>
        <w:t>строительства,</w:t>
      </w: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</w:rPr>
        <w:t>реконструкции, капитального ремонта тоннелей, мостов, путепроводов.</w:t>
      </w:r>
    </w:p>
    <w:p w:rsidR="00622433" w:rsidRPr="00622433" w:rsidRDefault="00622433" w:rsidP="00622433">
      <w:pPr>
        <w:jc w:val="right"/>
        <w:rPr>
          <w:rFonts w:ascii="Times New Roman" w:hAnsi="Times New Roman" w:cs="Times New Roman"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</w:rPr>
      </w:pPr>
      <w:r w:rsidRPr="00622433">
        <w:rPr>
          <w:rFonts w:ascii="Times New Roman" w:hAnsi="Times New Roman" w:cs="Times New Roman"/>
        </w:rPr>
        <w:t xml:space="preserve">                                                                                       Таблица 2</w:t>
      </w:r>
    </w:p>
    <w:p w:rsidR="00622433" w:rsidRPr="00622433" w:rsidRDefault="00622433" w:rsidP="0062243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3"/>
        <w:gridCol w:w="1194"/>
      </w:tblGrid>
      <w:tr w:rsidR="00622433" w:rsidRPr="00622433" w:rsidTr="000B0914">
        <w:trPr>
          <w:trHeight w:val="310"/>
          <w:jc w:val="center"/>
        </w:trPr>
        <w:tc>
          <w:tcPr>
            <w:tcW w:w="3453" w:type="dxa"/>
            <w:vMerge w:val="restart"/>
            <w:vAlign w:val="center"/>
          </w:tcPr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Индекс рыночной концентрации </w:t>
            </w:r>
          </w:p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Герфиндаля-Гиршмана (</w:t>
            </w: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HHI</w:t>
            </w: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4" w:type="dxa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24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62243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22433" w:rsidRPr="00622433" w:rsidTr="000B0914">
        <w:trPr>
          <w:trHeight w:val="321"/>
          <w:jc w:val="center"/>
        </w:trPr>
        <w:tc>
          <w:tcPr>
            <w:tcW w:w="3453" w:type="dxa"/>
            <w:vMerge/>
          </w:tcPr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</w:t>
            </w:r>
          </w:p>
        </w:tc>
      </w:tr>
      <w:tr w:rsidR="00622433" w:rsidRPr="00622433" w:rsidTr="000B0914">
        <w:trPr>
          <w:trHeight w:val="424"/>
          <w:jc w:val="center"/>
        </w:trPr>
        <w:tc>
          <w:tcPr>
            <w:tcW w:w="3453" w:type="dxa"/>
            <w:vAlign w:val="center"/>
          </w:tcPr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Коэффициент </w:t>
            </w:r>
            <w:proofErr w:type="gramStart"/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рыночной</w:t>
            </w:r>
            <w:proofErr w:type="gramEnd"/>
          </w:p>
          <w:p w:rsidR="00622433" w:rsidRPr="00622433" w:rsidRDefault="00622433" w:rsidP="000B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концентрации (</w:t>
            </w: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CR</w:t>
            </w: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-3) , в т.ч.:</w:t>
            </w:r>
          </w:p>
        </w:tc>
        <w:tc>
          <w:tcPr>
            <w:tcW w:w="119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4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22433" w:rsidRPr="00622433" w:rsidTr="000B0914">
        <w:trPr>
          <w:trHeight w:val="438"/>
          <w:jc w:val="center"/>
        </w:trPr>
        <w:tc>
          <w:tcPr>
            <w:tcW w:w="3453" w:type="dxa"/>
            <w:vAlign w:val="center"/>
          </w:tcPr>
          <w:p w:rsidR="00622433" w:rsidRPr="00622433" w:rsidRDefault="00622433" w:rsidP="000B09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2433">
              <w:rPr>
                <w:rFonts w:ascii="Times New Roman" w:eastAsia="Calibri" w:hAnsi="Times New Roman" w:cs="Times New Roman"/>
              </w:rPr>
              <w:t>ОАО «</w:t>
            </w:r>
            <w:proofErr w:type="spellStart"/>
            <w:r w:rsidRPr="00622433">
              <w:rPr>
                <w:rFonts w:ascii="Times New Roman" w:eastAsia="Calibri" w:hAnsi="Times New Roman" w:cs="Times New Roman"/>
              </w:rPr>
              <w:t>Дальмостострой</w:t>
            </w:r>
            <w:proofErr w:type="spellEnd"/>
            <w:r w:rsidRPr="0062243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94" w:type="dxa"/>
            <w:vAlign w:val="center"/>
          </w:tcPr>
          <w:p w:rsidR="00622433" w:rsidRPr="00622433" w:rsidRDefault="00622433" w:rsidP="000B0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2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Определение барьеров входа на товарные рынки.</w:t>
      </w:r>
    </w:p>
    <w:p w:rsidR="00622433" w:rsidRPr="00622433" w:rsidRDefault="00622433" w:rsidP="0062243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bCs/>
          <w:sz w:val="28"/>
          <w:szCs w:val="28"/>
        </w:rPr>
        <w:tab/>
      </w:r>
      <w:r w:rsidRPr="00622433">
        <w:rPr>
          <w:rFonts w:ascii="Times New Roman" w:hAnsi="Times New Roman" w:cs="Times New Roman"/>
          <w:sz w:val="28"/>
          <w:szCs w:val="28"/>
        </w:rPr>
        <w:t>Определение и анализ существующих барьеров входа на рынок услуг по строительству, реконструкции, капитальному ремонту дорог, тоннелей, мостов и путепроводов составлен в соответствии с анкетой, представленной  Методическими рекомендациями ФАС России.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ab/>
        <w:t xml:space="preserve"> Анкетным опросом было охвачено 4 (100%) 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хозяйствующих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субъекта, действующих на исследуемом рынке. 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ab/>
        <w:t>Данные анкетного опроса выявили основные барьеры в сфере дорожного строительства.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опросе хозяйствующих субъектов, указывались факторы ограничивающие участие средних и малых компаний в конкурсах, аукционах или запросах котировок, работ связанных со строительством, реконструкцией, капитальным ремонтом  дорог, тоннелей, мостов, путепроводов. 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Из числа опрошенных хозяйствующих субъектов наибольший балл был выставлен по предъявляемым заказчиками ограничениям:</w:t>
      </w:r>
      <w:proofErr w:type="gramEnd"/>
    </w:p>
    <w:p w:rsidR="00622433" w:rsidRPr="00622433" w:rsidRDefault="00622433" w:rsidP="00622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крупная сумма требуемого задатк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от 6 до 10 баллов;</w:t>
      </w:r>
    </w:p>
    <w:p w:rsidR="00622433" w:rsidRPr="00622433" w:rsidRDefault="00622433" w:rsidP="00622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отсутствие аванса- 10 баллов;</w:t>
      </w:r>
    </w:p>
    <w:p w:rsidR="00622433" w:rsidRPr="00622433" w:rsidRDefault="00622433" w:rsidP="00622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наличие требований об использовании определённой техники при выполнении строительных рабо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от 5 до 7 баллов;</w:t>
      </w:r>
    </w:p>
    <w:p w:rsidR="00622433" w:rsidRPr="00622433" w:rsidRDefault="00622433" w:rsidP="00622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размер лота свыше 100 млн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уб.- от 6 до 2 баллов </w:t>
      </w:r>
    </w:p>
    <w:p w:rsidR="00622433" w:rsidRPr="00622433" w:rsidRDefault="00622433" w:rsidP="00622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433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предъявляемые заказчиком к объекту при приёмке работ – 5 баллов.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ab/>
        <w:t>Из числа проблем, с которыми строительные организации  сталкиваются при осуществлении строительства, были отмечены проблемы связанные при сдаче объекта в эксплуатацию, при получении разрешения на ввод объекта в эксплуатацию, при прохождении государственной экспертизы.</w:t>
      </w: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433">
        <w:rPr>
          <w:rFonts w:ascii="Times New Roman" w:hAnsi="Times New Roman" w:cs="Times New Roman"/>
          <w:color w:val="000000"/>
          <w:sz w:val="28"/>
          <w:szCs w:val="28"/>
        </w:rPr>
        <w:t>Главным барьером при вхождении новых участников на рассматриваемый рынок является необходимость наличия развитой производственной базы, позволяющей проводить требуемые виды работ для дорожной сети (дорожная техника, наличие оборотных сре</w:t>
      </w:r>
      <w:proofErr w:type="gramStart"/>
      <w:r w:rsidRPr="0062243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я закупки материалов, допуск к нерудным строительным материалам, наличие специалистов, налаженное оборудование), вхождение организации в </w:t>
      </w:r>
      <w:proofErr w:type="spellStart"/>
      <w:r w:rsidRPr="00622433">
        <w:rPr>
          <w:rFonts w:ascii="Times New Roman" w:hAnsi="Times New Roman" w:cs="Times New Roman"/>
          <w:color w:val="000000"/>
          <w:sz w:val="28"/>
          <w:szCs w:val="28"/>
        </w:rPr>
        <w:t>саморегулируемые</w:t>
      </w:r>
      <w:proofErr w:type="spellEnd"/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(СРО).</w:t>
      </w:r>
    </w:p>
    <w:p w:rsidR="00622433" w:rsidRPr="00622433" w:rsidRDefault="00622433" w:rsidP="0062243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ab/>
        <w:t>В рамках проведения исследования рынка использована информация от  органов исполнительной власти ЕАО, осуществляющих контроль и надзор в сфере дорожного строительства: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433" w:rsidRPr="00622433" w:rsidRDefault="00622433" w:rsidP="006224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 xml:space="preserve">от Управления архитектуры и строительства правительства Еврейской автономной области, уполномоченному органу на выдачу разрешения на строительство, разрешения на ввод объекта в эксплуатацию, о рассмотренных 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заявлениях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строительство, о </w:t>
      </w:r>
      <w:r w:rsidRPr="00622433">
        <w:rPr>
          <w:rFonts w:ascii="Times New Roman" w:hAnsi="Times New Roman" w:cs="Times New Roman"/>
          <w:sz w:val="28"/>
          <w:szCs w:val="28"/>
        </w:rPr>
        <w:lastRenderedPageBreak/>
        <w:t xml:space="preserve">выдаче разрешения на ввод объекта в эксплуатацию за период с 01.01.2008 по 31.12.2010, данные представлены в таблице 7. </w:t>
      </w:r>
    </w:p>
    <w:p w:rsidR="00622433" w:rsidRPr="00622433" w:rsidRDefault="00622433" w:rsidP="006224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от Управления государственного надзора и экспертизы Еврейской автономной области о проведении государственной экспертизы проектной документации и результатов инженерных изысканий, о выданных заключениях государственной экспертизы, об осуществлении государственного строительного надзора за период с 01.01.2008 по 31.12.2010, данные представлены в таблицах 8, 9.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433" w:rsidRPr="00622433" w:rsidRDefault="00622433" w:rsidP="0062243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>Оценка состояния конкуренции на товарном рынке.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433" w:rsidRPr="00622433" w:rsidRDefault="00622433" w:rsidP="0062243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2433">
        <w:rPr>
          <w:rFonts w:ascii="Times New Roman" w:hAnsi="Times New Roman" w:cs="Times New Roman"/>
          <w:b/>
          <w:sz w:val="28"/>
          <w:szCs w:val="28"/>
        </w:rPr>
        <w:tab/>
      </w:r>
      <w:r w:rsidRPr="00622433">
        <w:rPr>
          <w:rFonts w:ascii="Times New Roman" w:hAnsi="Times New Roman" w:cs="Times New Roman"/>
          <w:sz w:val="28"/>
          <w:szCs w:val="28"/>
        </w:rPr>
        <w:t xml:space="preserve">Сводные результаты оценки состояния конкурентной среды, а также сопоставление и анализ количественных и качественных показателей, характеризуют рынок услуг по строительству, реконструкции, капитальному ремонту дорог, тоннелей, мостов и путепроводов на территории ЕАО, как  </w:t>
      </w:r>
      <w:r w:rsidRPr="00622433">
        <w:rPr>
          <w:rFonts w:ascii="Times New Roman" w:hAnsi="Times New Roman" w:cs="Times New Roman"/>
          <w:b/>
          <w:sz w:val="28"/>
          <w:szCs w:val="28"/>
        </w:rPr>
        <w:t xml:space="preserve">высококонцентрированный с неразвитой конкуренцией. </w:t>
      </w: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243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 проведенного анализа состояния конкуренции и расчёта долей хозяйствующих субъектов на рынке строительства, реконструкции, капитального ремонта дорог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>, основными участниками данного сегмента товарного рынка, на территории Еврейской автономной области являются два хозяйствующих субъекта, имеющих долю более 35%.</w:t>
      </w: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«Биробиджанское дорожное ремонтно-строительное управление» (679014, ЕАО, г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>иробиджан, ул. Комбайностроителей, 38/7), с долей на рынке более 35%.</w:t>
      </w:r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«Дорожно-строительная компания №1» (679016, ЕАО, г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 xml:space="preserve">иробиджан, ул. Миллера, 26), с долей на рынке более 35%. 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Преимущественное положение хозяйствующих субъектов вытекает из наличия у обществ значительных мощностей, специализированной техники, для осуществления строительной деятельности. </w:t>
      </w:r>
      <w:r w:rsidRPr="00622433">
        <w:rPr>
          <w:rFonts w:ascii="Times New Roman" w:hAnsi="Times New Roman" w:cs="Times New Roman"/>
          <w:sz w:val="28"/>
          <w:szCs w:val="28"/>
        </w:rPr>
        <w:t>Данные общества</w:t>
      </w:r>
      <w:r w:rsidRPr="00622433">
        <w:rPr>
          <w:rStyle w:val="st1"/>
          <w:rFonts w:ascii="Times New Roman" w:hAnsi="Times New Roman" w:cs="Times New Roman"/>
          <w:color w:val="222222"/>
          <w:sz w:val="28"/>
          <w:szCs w:val="28"/>
        </w:rPr>
        <w:t xml:space="preserve"> были созданы в результате </w:t>
      </w:r>
      <w:r w:rsidRPr="00622433">
        <w:rPr>
          <w:rStyle w:val="st1"/>
          <w:rFonts w:ascii="Times New Roman" w:hAnsi="Times New Roman" w:cs="Times New Roman"/>
          <w:bCs/>
          <w:color w:val="000000"/>
          <w:sz w:val="28"/>
          <w:szCs w:val="28"/>
        </w:rPr>
        <w:t>реформирования дорожной отрасли</w:t>
      </w:r>
      <w:r w:rsidRPr="00622433">
        <w:rPr>
          <w:rFonts w:ascii="Times New Roman" w:hAnsi="Times New Roman" w:cs="Times New Roman"/>
          <w:sz w:val="28"/>
          <w:szCs w:val="28"/>
        </w:rPr>
        <w:t xml:space="preserve"> на базе производственной инфраструктуры советских дорожно-строительных управлений и организаций (ДРСУ и СМУ) Еврейской автономной области.</w:t>
      </w:r>
    </w:p>
    <w:p w:rsidR="00622433" w:rsidRPr="00622433" w:rsidRDefault="00622433" w:rsidP="006224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4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 xml:space="preserve">По итогам проведённого анализа состояния конкуренции Еврейским УФАС России, согласно 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Правил формирования и ведения реестра хозяйствующих субъектов, имеющих долю на рынке определенного товара в размере более чем 35 процентов, утвержденных Постановлением </w:t>
      </w:r>
      <w:r w:rsidRPr="00622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Правительства Российской Федерации от 19 декабря 2007 г. N 896, Административного регламента Федеральной антимонопольной службы по исполнению государственной функции по ведению реестра хозяйствующих субъектов, имеющих долю на рынке определенного</w:t>
      </w:r>
      <w:proofErr w:type="gramEnd"/>
      <w:r w:rsidRPr="00622433">
        <w:rPr>
          <w:rFonts w:ascii="Times New Roman" w:hAnsi="Times New Roman" w:cs="Times New Roman"/>
          <w:color w:val="000000"/>
          <w:sz w:val="28"/>
          <w:szCs w:val="28"/>
        </w:rPr>
        <w:t xml:space="preserve"> товара более чем 35 процентов, утвержденного Приказом ФАС России от 17.01.2007 № 6</w:t>
      </w:r>
      <w:r w:rsidRPr="00622433">
        <w:rPr>
          <w:rFonts w:ascii="Times New Roman" w:hAnsi="Times New Roman" w:cs="Times New Roman"/>
          <w:sz w:val="28"/>
          <w:szCs w:val="28"/>
        </w:rPr>
        <w:t xml:space="preserve"> будет рассмотрен вопрос о включении </w:t>
      </w:r>
      <w:r w:rsidRPr="00622433">
        <w:rPr>
          <w:rFonts w:ascii="Times New Roman" w:hAnsi="Times New Roman" w:cs="Times New Roman"/>
          <w:b/>
          <w:sz w:val="28"/>
          <w:szCs w:val="28"/>
        </w:rPr>
        <w:t xml:space="preserve">Общества с ограниченной ответственностью «Биробиджанское дорожное ремонтно-строительное управление» </w:t>
      </w:r>
      <w:r w:rsidRPr="00622433">
        <w:rPr>
          <w:rFonts w:ascii="Times New Roman" w:hAnsi="Times New Roman" w:cs="Times New Roman"/>
          <w:sz w:val="28"/>
          <w:szCs w:val="28"/>
        </w:rPr>
        <w:t>(679014, ЕАО, г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2433">
        <w:rPr>
          <w:rFonts w:ascii="Times New Roman" w:hAnsi="Times New Roman" w:cs="Times New Roman"/>
          <w:sz w:val="28"/>
          <w:szCs w:val="28"/>
        </w:rPr>
        <w:t>иробиджан, ул. Комбайностроителей, 38/7)</w:t>
      </w:r>
      <w:r w:rsidRPr="006224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2433">
        <w:rPr>
          <w:rFonts w:ascii="Times New Roman" w:hAnsi="Times New Roman" w:cs="Times New Roman"/>
          <w:sz w:val="28"/>
          <w:szCs w:val="28"/>
        </w:rPr>
        <w:t xml:space="preserve">с долей на рынке более 35%, </w:t>
      </w:r>
      <w:r w:rsidRPr="00622433">
        <w:rPr>
          <w:rFonts w:ascii="Times New Roman" w:hAnsi="Times New Roman" w:cs="Times New Roman"/>
          <w:b/>
          <w:sz w:val="28"/>
          <w:szCs w:val="28"/>
        </w:rPr>
        <w:t xml:space="preserve">Общества с ограниченной ответственностью «Дорожно-строительная компания №1» </w:t>
      </w:r>
      <w:r w:rsidRPr="00622433">
        <w:rPr>
          <w:rFonts w:ascii="Times New Roman" w:hAnsi="Times New Roman" w:cs="Times New Roman"/>
          <w:sz w:val="28"/>
          <w:szCs w:val="28"/>
        </w:rPr>
        <w:t xml:space="preserve">(679016, ЕАО, г.Биробиджан, ул. Миллера, 26), с долей на рынке более 35%, в </w:t>
      </w:r>
      <w:proofErr w:type="gramStart"/>
      <w:r w:rsidRPr="00622433">
        <w:rPr>
          <w:rFonts w:ascii="Times New Roman" w:hAnsi="Times New Roman" w:cs="Times New Roman"/>
          <w:sz w:val="28"/>
          <w:szCs w:val="28"/>
        </w:rPr>
        <w:t xml:space="preserve">Реестр хозяйствующих субъектов, имеющих долю на рынке определенного товара более чем 35 процентов или занимающих доминирующее положение на рынке определенного товара, если в отношении такого рынка федеральными законами установлены случаи признания доминирующим положения хозяйствующих субъектов, по виду деятельности </w:t>
      </w:r>
      <w:r w:rsidRPr="00622433">
        <w:rPr>
          <w:rFonts w:ascii="Times New Roman" w:hAnsi="Times New Roman" w:cs="Times New Roman"/>
          <w:b/>
          <w:bCs/>
          <w:sz w:val="28"/>
          <w:szCs w:val="28"/>
        </w:rPr>
        <w:t>45.23.1 «</w:t>
      </w:r>
      <w:r w:rsidRPr="00622433">
        <w:rPr>
          <w:rFonts w:ascii="Times New Roman" w:hAnsi="Times New Roman" w:cs="Times New Roman"/>
          <w:b/>
          <w:sz w:val="28"/>
          <w:szCs w:val="28"/>
        </w:rPr>
        <w:t>Производство общестроительных работ по строительству</w:t>
      </w:r>
      <w:r w:rsidRPr="00622433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 дорог, железных дорог и взлётно-посадочных полос аэродромов», </w:t>
      </w:r>
      <w:r w:rsidRPr="00622433">
        <w:rPr>
          <w:rFonts w:ascii="Times New Roman" w:hAnsi="Times New Roman" w:cs="Times New Roman"/>
          <w:sz w:val="28"/>
          <w:szCs w:val="28"/>
        </w:rPr>
        <w:t>в географических границах Еврейской автономной области.</w:t>
      </w:r>
      <w:proofErr w:type="gramEnd"/>
    </w:p>
    <w:p w:rsidR="00622433" w:rsidRPr="00622433" w:rsidRDefault="00622433" w:rsidP="0062243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63" w:rsidRPr="00622433" w:rsidRDefault="00D13C63">
      <w:pPr>
        <w:rPr>
          <w:rFonts w:ascii="Times New Roman" w:hAnsi="Times New Roman" w:cs="Times New Roman"/>
        </w:rPr>
      </w:pPr>
    </w:p>
    <w:sectPr w:rsidR="00D13C63" w:rsidRPr="0062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D4A"/>
    <w:multiLevelType w:val="hybridMultilevel"/>
    <w:tmpl w:val="9772854C"/>
    <w:lvl w:ilvl="0" w:tplc="1E02B3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7280A"/>
    <w:multiLevelType w:val="hybridMultilevel"/>
    <w:tmpl w:val="291685A2"/>
    <w:lvl w:ilvl="0" w:tplc="B8ECB6E6">
      <w:start w:val="1"/>
      <w:numFmt w:val="decimal"/>
      <w:lvlText w:val="%1)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D837471"/>
    <w:multiLevelType w:val="hybridMultilevel"/>
    <w:tmpl w:val="21F41824"/>
    <w:lvl w:ilvl="0" w:tplc="6B46C3E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CEA4D5A"/>
    <w:multiLevelType w:val="hybridMultilevel"/>
    <w:tmpl w:val="0EA2D2F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32CB526C"/>
    <w:multiLevelType w:val="hybridMultilevel"/>
    <w:tmpl w:val="DA847F44"/>
    <w:lvl w:ilvl="0" w:tplc="7430DF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A4A44"/>
    <w:multiLevelType w:val="hybridMultilevel"/>
    <w:tmpl w:val="C888C72A"/>
    <w:lvl w:ilvl="0" w:tplc="32B6BD18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DD1C37A4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1B5607"/>
    <w:multiLevelType w:val="hybridMultilevel"/>
    <w:tmpl w:val="28CA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1DEB"/>
    <w:multiLevelType w:val="hybridMultilevel"/>
    <w:tmpl w:val="F3BC287E"/>
    <w:lvl w:ilvl="0" w:tplc="3870A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E4DD7"/>
    <w:multiLevelType w:val="hybridMultilevel"/>
    <w:tmpl w:val="CBC6E6B0"/>
    <w:lvl w:ilvl="0" w:tplc="3870A2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433"/>
    <w:rsid w:val="00622433"/>
    <w:rsid w:val="00D1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243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62243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622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224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2243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2433"/>
    <w:rPr>
      <w:rFonts w:ascii="Times New Roman" w:eastAsia="Times New Roman" w:hAnsi="Times New Roman" w:cs="Times New Roman"/>
      <w:sz w:val="16"/>
      <w:szCs w:val="16"/>
    </w:rPr>
  </w:style>
  <w:style w:type="character" w:customStyle="1" w:styleId="st1">
    <w:name w:val="st1"/>
    <w:basedOn w:val="a0"/>
    <w:rsid w:val="00622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3864</Words>
  <Characters>22031</Characters>
  <Application>Microsoft Office Word</Application>
  <DocSecurity>0</DocSecurity>
  <Lines>183</Lines>
  <Paragraphs>51</Paragraphs>
  <ScaleCrop>false</ScaleCrop>
  <Company>Еврейское УФАС</Company>
  <LinksUpToDate>false</LinksUpToDate>
  <CharactersWithSpaces>25844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2012-01-24T04:08:00Z</dcterms:created>
  <dcterms:modified xsi:type="dcterms:W3CDTF">2012-01-24T04:09:00Z</dcterms:modified>
</cp:coreProperties>
</file>