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15" w:rsidRDefault="00083C15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083C15" w:rsidRDefault="00083C15">
      <w:pPr>
        <w:spacing w:after="1" w:line="220" w:lineRule="atLeast"/>
        <w:jc w:val="both"/>
        <w:outlineLvl w:val="0"/>
      </w:pPr>
    </w:p>
    <w:p w:rsidR="00083C15" w:rsidRDefault="00083C1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ФЕДЕРАЛЬНАЯ АНТИМОНОПОЛЬНАЯ СЛУЖБА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февраля 2019 г. N 133/19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МЕТОДИКИ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РАСЧЕТА КЛЮЧЕВЫХ ПОКАЗАТЕЛЕЙ ЭФФЕКТИВНОСТИ ФУНКЦИОНИРОВАНИЯ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ФЕДЕРАЛЬНОМ ОРГАНЕ ИСПОЛНИТЕЛЬНОЙ ВЛАСТИ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АНТИМОНОПОЛЬНОГО КОМПЛАЕНСА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распоряжения Правительства Российской Федерации от 18 октября 2018 года N 2258-р, приказываю: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26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 xml:space="preserve"> в соответствии с приложением N 1 к настоящему приказу.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Контроль исполнения настоящего приказа оставляю за собой.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:rsidR="00083C15" w:rsidRDefault="00083C15">
      <w:pPr>
        <w:spacing w:after="1" w:line="220" w:lineRule="atLeast"/>
        <w:jc w:val="right"/>
      </w:pPr>
      <w:r>
        <w:rPr>
          <w:rFonts w:ascii="Calibri" w:hAnsi="Calibri" w:cs="Calibri"/>
        </w:rPr>
        <w:t>И.Ю.АРТЕМЬЕВ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083C15" w:rsidRDefault="00083C15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ФАС России</w:t>
      </w:r>
    </w:p>
    <w:p w:rsidR="00083C15" w:rsidRDefault="00083C15">
      <w:pPr>
        <w:spacing w:after="1" w:line="220" w:lineRule="atLeast"/>
        <w:jc w:val="right"/>
      </w:pPr>
      <w:r>
        <w:rPr>
          <w:rFonts w:ascii="Calibri" w:hAnsi="Calibri" w:cs="Calibri"/>
        </w:rPr>
        <w:t>от 05.02.2019 N 133/19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center"/>
      </w:pPr>
      <w:bookmarkStart w:id="0" w:name="P26"/>
      <w:bookmarkEnd w:id="0"/>
      <w:r>
        <w:rPr>
          <w:rFonts w:ascii="Calibri" w:hAnsi="Calibri" w:cs="Calibri"/>
          <w:b/>
        </w:rPr>
        <w:t>МЕТОДИКА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РАСЧЕТА КЛЮЧЕВЫХ ПОКАЗАТЕЛЕЙ ЭФФЕКТИВНОСТИ ФУНКЦИОНИРОВАНИЯ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ФЕДЕРАЛЬНОМ ОРГАНЕ ИСПОЛНИТЕЛЬНОЙ ВЛАСТИ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АНТИМОНОПОЛЬНОГО КОМПЛАЕНСА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Методика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 xml:space="preserve"> (далее - Методика) разработана ФАС России в соответствии с </w:t>
      </w:r>
      <w:hyperlink r:id="rId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 Методические рекомендации).</w:t>
      </w:r>
      <w:proofErr w:type="gramEnd"/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 xml:space="preserve"> (далее - КПЭ) как для уполномоченного подразделения (должностного лица), так и для федерального органа исполнительной власти в целом.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Методика расчета КПЭ для федерального органа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исполнительной власти в целом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Ключевыми показателями эффективности антимонопольного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 xml:space="preserve"> для федерального органа исполнительной власти в целом являются:</w:t>
      </w:r>
      <w:proofErr w:type="gramEnd"/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годом);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доля нормативных правовых актов федерального органа исполнительной власти, в которых выявлены риски нарушения антимонопольного законодательства.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 рассчитывается по формуле: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 w:rsidRPr="00A153BF">
        <w:rPr>
          <w:position w:val="-23"/>
        </w:rPr>
        <w:pict>
          <v:shape id="_x0000_i1025" style="width:111pt;height:34.5pt" coordsize="" o:spt="100" adj="0,,0" path="" filled="f" stroked="f">
            <v:stroke joinstyle="miter"/>
            <v:imagedata r:id="rId6" o:title="base_1_317658_32768"/>
            <v:formulas/>
            <v:path o:connecttype="segments"/>
          </v:shape>
        </w:pic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КСН - коэффициент снижения количества нарушений антимонопольного законодательства со стороны федерального органа исполнительной власти по сравнению с 2017 годом;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КН</w:t>
      </w:r>
      <w:r>
        <w:rPr>
          <w:rFonts w:ascii="Calibri" w:hAnsi="Calibri" w:cs="Calibri"/>
          <w:vertAlign w:val="subscript"/>
        </w:rPr>
        <w:t>2017</w:t>
      </w:r>
      <w:r>
        <w:rPr>
          <w:rFonts w:ascii="Calibri" w:hAnsi="Calibri" w:cs="Calibri"/>
        </w:rPr>
        <w:t xml:space="preserve"> - количество нарушений антимонопольного законодательства со стороны федерального органа исполнительной власти в 2017 году;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КНоп</w:t>
      </w:r>
      <w:proofErr w:type="spellEnd"/>
      <w:r>
        <w:rPr>
          <w:rFonts w:ascii="Calibri" w:hAnsi="Calibri" w:cs="Calibri"/>
        </w:rPr>
        <w:t xml:space="preserve"> - количество нарушений антимонопольного законодательства со стороны органа государственной власти в отчетном периоде.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расчете </w:t>
      </w:r>
      <w:proofErr w:type="gramStart"/>
      <w:r>
        <w:rPr>
          <w:rFonts w:ascii="Calibri" w:hAnsi="Calibri" w:cs="Calibri"/>
        </w:rPr>
        <w:t>коэффициента снижения количества нарушений антимонопольного законодательства</w:t>
      </w:r>
      <w:proofErr w:type="gramEnd"/>
      <w:r>
        <w:rPr>
          <w:rFonts w:ascii="Calibri" w:hAnsi="Calibri" w:cs="Calibri"/>
        </w:rPr>
        <w:t xml:space="preserve"> со стороны федерального органа исполнительной власти под нарушением антимонопольного законодательства со стороны федерального органа исполнительной власти понимаются: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возбужденные антимонопольным органом в отношении федерального органа исполнительной власти антимонопольные дела;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выданные антимонопольным органом федеральному органу исполнительной власти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направленные антимонопольным органом федеральному органу исполнительной власти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Доля проектов нормативных правовых актов федерального органа исполнительной власти, в которых выявлены риски нарушения </w:t>
      </w:r>
      <w:proofErr w:type="gramStart"/>
      <w:r>
        <w:rPr>
          <w:rFonts w:ascii="Calibri" w:hAnsi="Calibri" w:cs="Calibri"/>
        </w:rPr>
        <w:t>антимонопольного</w:t>
      </w:r>
      <w:proofErr w:type="gramEnd"/>
      <w:r>
        <w:rPr>
          <w:rFonts w:ascii="Calibri" w:hAnsi="Calibri" w:cs="Calibri"/>
        </w:rPr>
        <w:t xml:space="preserve"> законодательства, рассчитывается по формуле: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 w:rsidRPr="00A153BF">
        <w:rPr>
          <w:position w:val="-23"/>
        </w:rPr>
        <w:pict>
          <v:shape id="_x0000_i1026" style="width:120pt;height:34.5pt" coordsize="" o:spt="100" adj="0,,0" path="" filled="f" stroked="f">
            <v:stroke joinstyle="miter"/>
            <v:imagedata r:id="rId7" o:title="base_1_317658_32769"/>
            <v:formulas/>
            <v:path o:connecttype="segments"/>
          </v:shape>
        </w:pic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Дпнпа</w:t>
      </w:r>
      <w:proofErr w:type="spellEnd"/>
      <w:r>
        <w:rPr>
          <w:rFonts w:ascii="Calibri" w:hAnsi="Calibri" w:cs="Calibri"/>
        </w:rPr>
        <w:t xml:space="preserve"> -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Кпнпа</w:t>
      </w:r>
      <w:proofErr w:type="spellEnd"/>
      <w:r>
        <w:rPr>
          <w:rFonts w:ascii="Calibri" w:hAnsi="Calibri" w:cs="Calibri"/>
        </w:rPr>
        <w:t xml:space="preserve"> - количество проектов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КНоп</w:t>
      </w:r>
      <w:proofErr w:type="spellEnd"/>
      <w:r>
        <w:rPr>
          <w:rFonts w:ascii="Calibri" w:hAnsi="Calibri" w:cs="Calibri"/>
        </w:rP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Доля нормативных правовых актов федерального органа исполнительной власти, в которых выявлены риски нарушения </w:t>
      </w:r>
      <w:proofErr w:type="gramStart"/>
      <w:r>
        <w:rPr>
          <w:rFonts w:ascii="Calibri" w:hAnsi="Calibri" w:cs="Calibri"/>
        </w:rPr>
        <w:t>антимонопольного</w:t>
      </w:r>
      <w:proofErr w:type="gramEnd"/>
      <w:r>
        <w:rPr>
          <w:rFonts w:ascii="Calibri" w:hAnsi="Calibri" w:cs="Calibri"/>
        </w:rPr>
        <w:t xml:space="preserve"> законодательства, рассчитывается по формуле: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 w:rsidRPr="00A153BF">
        <w:rPr>
          <w:position w:val="-23"/>
        </w:rPr>
        <w:pict>
          <v:shape id="_x0000_i1027" style="width:108.75pt;height:34.5pt" coordsize="" o:spt="100" adj="0,,0" path="" filled="f" stroked="f">
            <v:stroke joinstyle="miter"/>
            <v:imagedata r:id="rId8" o:title="base_1_317658_32770"/>
            <v:formulas/>
            <v:path o:connecttype="segments"/>
          </v:shape>
        </w:pic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Днпа</w:t>
      </w:r>
      <w:proofErr w:type="spellEnd"/>
      <w:r>
        <w:rPr>
          <w:rFonts w:ascii="Calibri" w:hAnsi="Calibri" w:cs="Calibri"/>
        </w:rPr>
        <w:t xml:space="preserve"> - доля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Кпнпа</w:t>
      </w:r>
      <w:proofErr w:type="spellEnd"/>
      <w:r>
        <w:rPr>
          <w:rFonts w:ascii="Calibri" w:hAnsi="Calibri" w:cs="Calibri"/>
        </w:rPr>
        <w:t xml:space="preserve"> - количество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КНоп</w:t>
      </w:r>
      <w:proofErr w:type="spellEnd"/>
      <w:r>
        <w:rPr>
          <w:rFonts w:ascii="Calibri" w:hAnsi="Calibri" w:cs="Calibri"/>
        </w:rP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Методика расчета ключевых показателей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эффективности функционирования антимонопольного </w:t>
      </w:r>
      <w:proofErr w:type="spellStart"/>
      <w:r>
        <w:rPr>
          <w:rFonts w:ascii="Calibri" w:hAnsi="Calibri" w:cs="Calibri"/>
          <w:b/>
        </w:rPr>
        <w:t>комплаенса</w:t>
      </w:r>
      <w:proofErr w:type="spellEnd"/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уполномоченного подразделения (должностного лица)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Для уполномоченного подразделения (должностного лица) рассчитываются </w:t>
      </w:r>
      <w:proofErr w:type="gramStart"/>
      <w:r>
        <w:rPr>
          <w:rFonts w:ascii="Calibri" w:hAnsi="Calibri" w:cs="Calibri"/>
        </w:rPr>
        <w:t>следующий</w:t>
      </w:r>
      <w:proofErr w:type="gramEnd"/>
      <w:r>
        <w:rPr>
          <w:rFonts w:ascii="Calibri" w:hAnsi="Calibri" w:cs="Calibri"/>
        </w:rPr>
        <w:t xml:space="preserve"> КПЭ: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доля сотрудников федерального органа исполнительной власти,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Calibri" w:hAnsi="Calibri" w:cs="Calibri"/>
        </w:rPr>
        <w:t>комплаенсу</w:t>
      </w:r>
      <w:proofErr w:type="spellEnd"/>
      <w:r>
        <w:rPr>
          <w:rFonts w:ascii="Calibri" w:hAnsi="Calibri" w:cs="Calibri"/>
        </w:rPr>
        <w:t>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Calibri" w:hAnsi="Calibri" w:cs="Calibri"/>
        </w:rPr>
        <w:t>комплаенсу</w:t>
      </w:r>
      <w:proofErr w:type="spellEnd"/>
      <w:r>
        <w:rPr>
          <w:rFonts w:ascii="Calibri" w:hAnsi="Calibri" w:cs="Calibri"/>
        </w:rPr>
        <w:t>, рассчитывается по формуле: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 w:rsidRPr="00A153BF">
        <w:rPr>
          <w:position w:val="-24"/>
        </w:rPr>
        <w:pict>
          <v:shape id="_x0000_i1028" style="width:113.25pt;height:35.25pt" coordsize="" o:spt="100" adj="0,,0" path="" filled="f" stroked="f">
            <v:stroke joinstyle="miter"/>
            <v:imagedata r:id="rId9" o:title="base_1_317658_32771"/>
            <v:formulas/>
            <v:path o:connecttype="segments"/>
          </v:shape>
        </w:pic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ДСо</w:t>
      </w:r>
      <w:proofErr w:type="spellEnd"/>
      <w:r>
        <w:rPr>
          <w:rFonts w:ascii="Calibri" w:hAnsi="Calibri" w:cs="Calibri"/>
        </w:rPr>
        <w:t xml:space="preserve"> -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Calibri" w:hAnsi="Calibri" w:cs="Calibri"/>
        </w:rPr>
        <w:t>комплаенсу</w:t>
      </w:r>
      <w:proofErr w:type="spellEnd"/>
      <w:r>
        <w:rPr>
          <w:rFonts w:ascii="Calibri" w:hAnsi="Calibri" w:cs="Calibri"/>
        </w:rPr>
        <w:t>;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КСо</w:t>
      </w:r>
      <w:proofErr w:type="spellEnd"/>
      <w:r>
        <w:rPr>
          <w:rFonts w:ascii="Calibri" w:hAnsi="Calibri" w:cs="Calibri"/>
        </w:rPr>
        <w:t xml:space="preserve"> - количество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Calibri" w:hAnsi="Calibri" w:cs="Calibri"/>
        </w:rPr>
        <w:t>комплаенсу</w:t>
      </w:r>
      <w:proofErr w:type="spellEnd"/>
      <w:r>
        <w:rPr>
          <w:rFonts w:ascii="Calibri" w:hAnsi="Calibri" w:cs="Calibri"/>
        </w:rPr>
        <w:t>;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КСобщ</w:t>
      </w:r>
      <w:proofErr w:type="spellEnd"/>
      <w:r>
        <w:rPr>
          <w:rFonts w:ascii="Calibri" w:hAnsi="Calibri" w:cs="Calibri"/>
        </w:rPr>
        <w:t xml:space="preserve"> - общее количество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Оценка значений КПЭ для федерального органа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исполнительной власти в целом и КПЭ для уполномоченного</w:t>
      </w:r>
    </w:p>
    <w:p w:rsidR="00083C15" w:rsidRDefault="00083C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подразделения (должностного лица)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Оценка значений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годом)".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Ключевой показатель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</w:t>
      </w:r>
      <w:proofErr w:type="spellStart"/>
      <w:r>
        <w:rPr>
          <w:rFonts w:ascii="Calibri" w:hAnsi="Calibri" w:cs="Calibri"/>
        </w:rPr>
        <w:t>коррелирует</w:t>
      </w:r>
      <w:proofErr w:type="spellEnd"/>
      <w:r>
        <w:rPr>
          <w:rFonts w:ascii="Calibri" w:hAnsi="Calibri" w:cs="Calibri"/>
        </w:rPr>
        <w:t xml:space="preserve"> с ключевым показателем мероприятий, предусмотренным </w:t>
      </w:r>
      <w:hyperlink r:id="rId10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РФ от 21.12.2017 N 618 "Об основных направлениях государственной политики по развитию конкуренции", а</w:t>
      </w:r>
      <w:proofErr w:type="gramEnd"/>
      <w:r>
        <w:rPr>
          <w:rFonts w:ascii="Calibri" w:hAnsi="Calibri" w:cs="Calibri"/>
        </w:rPr>
        <w:t xml:space="preserve">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Ежегодная оценка значения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призвана обеспечить понимание об эффективности функционирования антимонопольного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 xml:space="preserve"> в федеральном органе исполнительной власти и о соответствии мероприятий антимонопольного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 xml:space="preserve"> федерального органа исполнительной власти направлениям совершенствования государственной политики по развитию конкуренции, установленных Национальным </w:t>
      </w:r>
      <w:hyperlink r:id="rId11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.</w:t>
      </w:r>
      <w:proofErr w:type="gramEnd"/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Оценка значений КПЭ "доля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законодательства" и "доля нормативных правовых актов федерального органа исполнительной власти, в которых выявлены риски нарушения антимонопольного законодательства".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 xml:space="preserve">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"в" пункта 15</w:t>
        </w:r>
      </w:hyperlink>
      <w:r>
        <w:rPr>
          <w:rFonts w:ascii="Calibri" w:hAnsi="Calibri" w:cs="Calibri"/>
        </w:rPr>
        <w:t xml:space="preserve"> Методических рекомендаций.</w:t>
      </w:r>
    </w:p>
    <w:p w:rsidR="00083C15" w:rsidRDefault="00083C1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федерального органа исполнительной власти,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>
        <w:rPr>
          <w:rFonts w:ascii="Calibri" w:hAnsi="Calibri" w:cs="Calibri"/>
        </w:rPr>
        <w:t xml:space="preserve"> Таким образом, значение КПЭ будет тем выше, чем эффективней данные мероприятия антимонопольного </w:t>
      </w:r>
      <w:proofErr w:type="spellStart"/>
      <w:r>
        <w:rPr>
          <w:rFonts w:ascii="Calibri" w:hAnsi="Calibri" w:cs="Calibri"/>
        </w:rPr>
        <w:t>комплаенса</w:t>
      </w:r>
      <w:proofErr w:type="spellEnd"/>
      <w:r>
        <w:rPr>
          <w:rFonts w:ascii="Calibri" w:hAnsi="Calibri" w:cs="Calibri"/>
        </w:rPr>
        <w:t xml:space="preserve"> будут осуществляться уполномоченным подразделением (должностным лицом).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Оценка значения КПЭ "сотрудников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Calibri" w:hAnsi="Calibri" w:cs="Calibri"/>
        </w:rPr>
        <w:t>комплаенсу</w:t>
      </w:r>
      <w:proofErr w:type="spellEnd"/>
      <w:r>
        <w:rPr>
          <w:rFonts w:ascii="Calibri" w:hAnsi="Calibri" w:cs="Calibri"/>
        </w:rPr>
        <w:t>".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Консультирование и обучение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Calibri" w:hAnsi="Calibri" w:cs="Calibri"/>
        </w:rPr>
        <w:t>комплаенсом</w:t>
      </w:r>
      <w:proofErr w:type="spellEnd"/>
      <w:r>
        <w:rPr>
          <w:rFonts w:ascii="Calibri" w:hAnsi="Calibri" w:cs="Calibri"/>
        </w:rPr>
        <w:t xml:space="preserve">, отнесено к компетенции уполномоченного подразделения (должностного лица) согласно </w:t>
      </w:r>
      <w:hyperlink r:id="rId14" w:history="1">
        <w:r>
          <w:rPr>
            <w:rFonts w:ascii="Calibri" w:hAnsi="Calibri" w:cs="Calibri"/>
            <w:color w:val="0000FF"/>
          </w:rPr>
          <w:t>подпункту "г" пункта 11</w:t>
        </w:r>
      </w:hyperlink>
      <w:r>
        <w:rPr>
          <w:rFonts w:ascii="Calibri" w:hAnsi="Calibri" w:cs="Calibri"/>
        </w:rPr>
        <w:t xml:space="preserve"> Методических рекомендаций, и направлено на профилактику нарушений требований антимонопольного законодательства в деятельности федерального органа исполнительной власти.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Национального плана.</w:t>
      </w:r>
    </w:p>
    <w:p w:rsidR="00083C15" w:rsidRDefault="00083C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Расчет данного показателя предусматривает определение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Calibri" w:hAnsi="Calibri" w:cs="Calibri"/>
        </w:rPr>
        <w:t>комплаенсу</w:t>
      </w:r>
      <w:proofErr w:type="spellEnd"/>
      <w:r>
        <w:rPr>
          <w:rFonts w:ascii="Calibri" w:hAnsi="Calibri" w:cs="Calibri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Calibri" w:hAnsi="Calibri" w:cs="Calibri"/>
        </w:rPr>
        <w:t>комплаенсу</w:t>
      </w:r>
      <w:proofErr w:type="spellEnd"/>
      <w:r>
        <w:rPr>
          <w:rFonts w:ascii="Calibri" w:hAnsi="Calibri" w:cs="Calibri"/>
        </w:rPr>
        <w:t xml:space="preserve"> (числитель), обеспечивает высокое значение КПЭ.</w:t>
      </w: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spacing w:after="1" w:line="220" w:lineRule="atLeast"/>
        <w:jc w:val="both"/>
      </w:pPr>
    </w:p>
    <w:p w:rsidR="00083C15" w:rsidRDefault="00083C1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C65" w:rsidRDefault="00387C65"/>
    <w:sectPr w:rsidR="00387C65" w:rsidSect="00EC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15"/>
    <w:rsid w:val="00083C15"/>
    <w:rsid w:val="0038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1697AFA5AE30E972750FCD720910BFD4D1435C4F8261D2BB93CCED80696EB6986CFAD7A8B9EB6E81CF69A0CAE15CDD94FD933305819B410Fl4JB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1697AFA5AE30E972750FCD720910BFD4D1435C4F8261D2BB93CCED80696EB6986CFAD7A8B9EB6E81CC69A0CAE15CDD94FD933305819B410Fl4JB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697AFA5AE30E972750FCD720910BFD4D04B504B8363D2BB93CCED80696EB6986CFAD7A8B9EB6E83CA69A0CAE15CDD94FD933305819B410Fl4JBA" TargetMode="External"/><Relationship Id="rId5" Type="http://schemas.openxmlformats.org/officeDocument/2006/relationships/hyperlink" Target="consultantplus://offline/ref=1697AFA5AE30E972750FCD720910BFD4D1435C4F8261D2BB93CCED80696EB6987EFA8FA4B8ED7086C97CF69BA4l0J0A" TargetMode="External"/><Relationship Id="rId15" Type="http://schemas.openxmlformats.org/officeDocument/2006/relationships/hyperlink" Target="consultantplus://offline/ref=1697AFA5AE30E972750FCD720910BFD4D04B504B8363D2BB93CCED80696EB6986CFAD7A8B9EB6E80CD69A0CAE15CDD94FD933305819B410Fl4JBA" TargetMode="External"/><Relationship Id="rId10" Type="http://schemas.openxmlformats.org/officeDocument/2006/relationships/hyperlink" Target="consultantplus://offline/ref=1697AFA5AE30E972750FCD720910BFD4D04B504B8363D2BB93CCED80696EB6986CFAD7A8B9EB6E80CD69A0CAE15CDD94FD933305819B410Fl4JBA" TargetMode="External"/><Relationship Id="rId4" Type="http://schemas.openxmlformats.org/officeDocument/2006/relationships/hyperlink" Target="consultantplus://offline/ref=1697AFA5AE30E972750FCD720910BFD4D1435C4F8261D2BB93CCED80696EB6986CFAD7A8B9EB6F86C869A0CAE15CDD94FD933305819B410Fl4JBA" TargetMode="Externa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1697AFA5AE30E972750FCD720910BFD4D1435C4F8261D2BB93CCED80696EB6986CFAD7A8B9EB6E83CB69A0CAE15CDD94FD933305819B410Fl4J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to79-Lunyev</dc:creator>
  <cp:keywords/>
  <dc:description/>
  <cp:lastModifiedBy>to79-Lunyev</cp:lastModifiedBy>
  <cp:revision>2</cp:revision>
  <dcterms:created xsi:type="dcterms:W3CDTF">2019-04-16T00:09:00Z</dcterms:created>
  <dcterms:modified xsi:type="dcterms:W3CDTF">2019-04-16T00:10:00Z</dcterms:modified>
</cp:coreProperties>
</file>